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Renewal proposal: Brackwell Freight Ltd</w:t>
      </w:r>
    </w:p>
    <w:p>
      <w:pPr>
        <w:pStyle w:val="Subtitle"/>
      </w:pPr>
      <w:r>
        <w:t>Growth renewal from Tue 1 Dec 2026</w:t>
      </w:r>
    </w:p>
    <w:p>
      <w:pPr>
        <w:pStyle w:val="Heading2"/>
      </w:pPr>
      <w:r>
        <w:t>Where the account stands</w:t>
      </w:r>
    </w:p>
    <w:p>
      <w:pPr>
        <w:pStyle w:val="Body"/>
      </w:pPr>
      <w:r>
        <w:t>The order form in force ends the day before Tue 1 Dec 2026, 53 days after the as-of date.</w:t>
      </w:r>
    </w:p>
    <w:tbl>
      <w:tblPr>
        <w:tblStyle w:val="BVizKPI"/>
        <w:tblW w:type="auto" w:w="0"/>
        <w:tblLook w:firstColumn="1" w:firstRow="1" w:lastColumn="0" w:lastRow="0" w:noHBand="0" w:noVBand="1" w:val="04A0"/>
      </w:tblPr>
      <w:tblGrid>
        <w:gridCol w:w="2616"/>
        <w:gridCol w:w="2616"/>
        <w:gridCol w:w="2616"/>
        <w:gridCol w:w="2616"/>
      </w:tblGrid>
      <w:tr>
        <w:tc>
          <w:tcPr>
            <w:tcW w:type="dxa" w:w="2616"/>
            <w:noWrap/>
          </w:tcPr>
          <w:p>
            <w:pPr>
              <w:pStyle w:val="KPIfigure"/>
            </w:pPr>
            <w:r>
              <w:rPr>
                <w:sz w:val="36"/>
              </w:rPr>
              <w:t>£44,000</w:t>
            </w:r>
          </w:p>
          <w:p>
            <w:pPr>
              <w:pStyle w:val="KPIlabel"/>
            </w:pPr>
            <w:r>
              <w:t>Contracted ARR</w:t>
            </w:r>
          </w:p>
          <w:p>
            <w:pPr>
              <w:pStyle w:val="KPInote"/>
            </w:pPr>
            <w:r>
              <w:t>order form in force</w:t>
            </w:r>
          </w:p>
        </w:tc>
        <w:tc>
          <w:tcPr>
            <w:tcW w:type="dxa" w:w="2616"/>
            <w:noWrap/>
          </w:tcPr>
          <w:p>
            <w:pPr>
              <w:pStyle w:val="KPIfigure"/>
            </w:pPr>
            <w:r>
              <w:rPr>
                <w:sz w:val="36"/>
              </w:rPr>
              <w:t>£50,000</w:t>
            </w:r>
          </w:p>
          <w:p>
            <w:pPr>
              <w:pStyle w:val="KPIlabel"/>
            </w:pPr>
            <w:r>
              <w:t>At renewal (list)</w:t>
            </w:r>
          </w:p>
          <w:p>
            <w:pPr>
              <w:pStyle w:val="KPInote"/>
            </w:pPr>
            <w:r>
              <w:t>13.6% on today</w:t>
            </w:r>
          </w:p>
        </w:tc>
        <w:tc>
          <w:tcPr>
            <w:tcW w:type="dxa" w:w="2616"/>
            <w:noWrap/>
          </w:tcPr>
          <w:p>
            <w:pPr>
              <w:pStyle w:val="KPIfigure"/>
            </w:pPr>
            <w:r>
              <w:rPr>
                <w:sz w:val="36"/>
              </w:rPr>
              <w:t>14 of 40</w:t>
            </w:r>
          </w:p>
          <w:p>
            <w:pPr>
              <w:pStyle w:val="KPIlabel"/>
            </w:pPr>
            <w:r>
              <w:t>Seats in use</w:t>
            </w:r>
          </w:p>
          <w:p>
            <w:pPr>
              <w:pStyle w:val="KPInote"/>
            </w:pPr>
            <w:r>
              <w:t>35%, Sep 2026</w:t>
            </w:r>
          </w:p>
        </w:tc>
        <w:tc>
          <w:tcPr>
            <w:tcW w:type="dxa" w:w="2616"/>
            <w:noWrap/>
          </w:tcPr>
          <w:p>
            <w:pPr>
              <w:pStyle w:val="KPIfigure"/>
            </w:pPr>
            <w:r>
              <w:rPr>
                <w:sz w:val="36"/>
              </w:rPr>
              <w:t>7 of 8</w:t>
            </w:r>
          </w:p>
          <w:p>
            <w:pPr>
              <w:pStyle w:val="KPIlabel"/>
            </w:pPr>
            <w:r>
              <w:t>Connectors</w:t>
            </w:r>
          </w:p>
          <w:p>
            <w:pPr>
              <w:pStyle w:val="KPInote"/>
            </w:pPr>
            <w:r>
              <w:t>configured of included</w:t>
            </w:r>
          </w:p>
        </w:tc>
      </w:tr>
    </w:tbl>
    <w:p>
      <w:pPr>
        <w:pStyle w:val="Body"/>
        <w:spacing w:after="0"/>
      </w:pPr>
    </w:p>
    <w:p>
      <w:pPr>
        <w:pStyle w:val="Source"/>
        <w:spacing w:after="200"/>
      </w:pPr>
      <w:r>
        <w:t>Source: B-Viz facts, as at Fri 9 Oct 2026; facts arr, renewals_due, usage_headroom</w:t>
      </w:r>
    </w:p>
    <w:p>
      <w:pPr>
        <w:pStyle w:val="Heading2"/>
      </w:pPr>
      <w:r>
        <w:t>Usage since go-live, complete months</w:t>
      </w:r>
    </w:p>
    <w:p>
      <w:pPr>
        <w:pStyle w:val="Body"/>
        <w:keepNext/>
      </w:pPr>
      <w:r>
        <w:drawing>
          <wp:inline xmlns:a="http://schemas.openxmlformats.org/drawingml/2006/main" xmlns:pic="http://schemas.openxmlformats.org/drawingml/2006/picture">
            <wp:extent cx="6645600" cy="18607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84f8dd03001-9840fb6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645600" cy="18607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</w:pPr>
      <w:r>
        <w:t>Figure 1. Daily active users, averaged and at their peak, each complete month</w:t>
      </w:r>
    </w:p>
    <w:p>
      <w:pPr>
        <w:pStyle w:val="Source"/>
        <w:spacing w:after="200"/>
      </w:pPr>
      <w:r>
        <w:t>Source: B-Viz facts, as at Fri 9 Oct 2026; facts usage (org_002)</w:t>
      </w:r>
    </w:p>
    <w:p>
      <w:pPr>
        <w:pStyle w:val="Heading1"/>
      </w:pPr>
      <w:r>
        <w:t>What has changed</w:t>
      </w:r>
    </w:p>
    <w:p>
      <w:pPr>
        <w:pStyle w:val="Body"/>
      </w:pPr>
      <w:r>
        <w:t>Active users fell from 23 in May 2026 to 14 in Sep 2026 (-39%), and questions asked fell from 520 to 190 (-63%). Liam Doherty asked 41% of questions before he left and was deactivated on 12 Jun 2026, leaving Aisha Rahman as sole admin.</w:t>
      </w:r>
    </w:p>
    <w:p>
      <w:pPr>
        <w:pStyle w:val="Body"/>
      </w:pPr>
      <w:r>
        <w:t>Gareth Whitlam inherited the contract, has asked about a smaller tier and will not agree any increase without a line-by-line reason. Renewal calls are booked for 12 Oct 2026 and 13 Oct 2026 and have not been held.</w:t>
      </w:r>
    </w:p>
    <w:p>
      <w:pPr>
        <w:pStyle w:val="Body"/>
      </w:pPr>
      <w:r>
        <w:t>The executed Growth order form sets £44,000 a year for 40 users to 30 Nov 2026, and the renewal proposal at £50,000 is unsigned. All four invoices are paid within terms, and CRM ARR of £88,000 double counts a duplicate record.</w:t>
      </w:r>
    </w:p>
    <w:p>
      <w:pPr>
        <w:pStyle w:val="Source"/>
        <w:spacing w:after="200"/>
      </w:pPr>
      <w:r>
        <w:t>Source: B-Viz facts, as at Fri 9 Oct 2026; get_document assessment:org_002</w:t>
      </w:r>
    </w:p>
    <w:p>
      <w:pPr>
        <w:pStyle w:val="Heading2"/>
      </w:pPr>
      <w:r>
        <w:t>Proposed terms</w:t>
      </w:r>
    </w:p>
    <w:tbl>
      <w:tblPr>
        <w:tblStyle w:val="BVizPlain"/>
        <w:tblW w:type="auto" w:w="0"/>
        <w:tblLook w:firstColumn="1" w:firstRow="1" w:lastColumn="0" w:lastRow="0" w:noHBand="1" w:noVBand="1" w:val="04A0"/>
      </w:tblPr>
      <w:tblGrid>
        <w:gridCol w:w="1744"/>
        <w:gridCol w:w="1744"/>
        <w:gridCol w:w="1744"/>
        <w:gridCol w:w="1744"/>
        <w:gridCol w:w="1744"/>
        <w:gridCol w:w="1744"/>
      </w:tblGrid>
      <w:tr>
        <w:trPr>
          <w:tblHeader/>
        </w:trPr>
        <w:tc>
          <w:tcPr>
            <w:tcW w:type="dxa" w:w="1744"/>
          </w:tcPr>
          <w:p>
            <w:pPr>
              <w:keepNext/>
            </w:pPr>
            <w:r>
              <w:rPr>
                <w:b/>
                <w:color w:val="1F2430"/>
              </w:rPr>
              <w:t>Option</w:t>
            </w:r>
          </w:p>
        </w:tc>
        <w:tc>
          <w:tcPr>
            <w:tcW w:type="dxa" w:w="1744"/>
          </w:tcPr>
          <w:p>
            <w:pPr>
              <w:keepNext/>
            </w:pPr>
            <w:r>
              <w:rPr>
                <w:b/>
                <w:color w:val="1F2430"/>
              </w:rPr>
              <w:t>Tier</w:t>
            </w:r>
          </w:p>
        </w:tc>
        <w:tc>
          <w:tcPr>
            <w:tcW w:type="dxa" w:w="1744"/>
          </w:tcPr>
          <w:p>
            <w:pPr>
              <w:keepNext/>
            </w:pPr>
            <w:r>
              <w:rPr>
                <w:b/>
                <w:color w:val="1F2430"/>
              </w:rPr>
              <w:t>Annual price</w:t>
            </w:r>
          </w:p>
        </w:tc>
        <w:tc>
          <w:tcPr>
            <w:tcW w:type="dxa" w:w="1744"/>
          </w:tcPr>
          <w:p>
            <w:pPr>
              <w:keepNext/>
            </w:pPr>
            <w:r>
              <w:rPr>
                <w:b/>
                <w:color w:val="1F2430"/>
              </w:rPr>
              <w:t>Users</w:t>
            </w:r>
          </w:p>
        </w:tc>
        <w:tc>
          <w:tcPr>
            <w:tcW w:type="dxa" w:w="1744"/>
          </w:tcPr>
          <w:p>
            <w:pPr>
              <w:keepNext/>
            </w:pPr>
            <w:r>
              <w:rPr>
                <w:b/>
                <w:color w:val="1F2430"/>
              </w:rPr>
              <w:t>Connectors</w:t>
            </w:r>
          </w:p>
        </w:tc>
        <w:tc>
          <w:tcPr>
            <w:tcW w:type="dxa" w:w="1744"/>
          </w:tcPr>
          <w:p>
            <w:pPr>
              <w:keepNext/>
            </w:pPr>
            <w:r>
              <w:rPr>
                <w:b/>
                <w:color w:val="1F2430"/>
              </w:rPr>
              <w:t>From</w:t>
            </w:r>
          </w:p>
        </w:tc>
      </w:tr>
      <w:tr>
        <w:tc>
          <w:tcPr>
            <w:tcW w:type="dxa" w:w="1744"/>
          </w:tcPr>
          <w:p>
            <w:r>
              <w:t>A: renew as today</w:t>
            </w:r>
          </w:p>
        </w:tc>
        <w:tc>
          <w:tcPr>
            <w:tcW w:type="dxa" w:w="1744"/>
          </w:tcPr>
          <w:p>
            <w:r>
              <w:t>Growth</w:t>
            </w:r>
          </w:p>
        </w:tc>
        <w:tc>
          <w:tcPr>
            <w:tcW w:type="dxa" w:w="1744"/>
          </w:tcPr>
          <w:p>
            <w:r>
              <w:t>£50,000</w:t>
            </w:r>
          </w:p>
        </w:tc>
        <w:tc>
          <w:tcPr>
            <w:tcW w:type="dxa" w:w="1744"/>
          </w:tcPr>
          <w:p>
            <w:r>
              <w:t>40</w:t>
            </w:r>
          </w:p>
        </w:tc>
        <w:tc>
          <w:tcPr>
            <w:tcW w:type="dxa" w:w="1744"/>
          </w:tcPr>
          <w:p>
            <w:r>
              <w:t>8</w:t>
            </w:r>
          </w:p>
        </w:tc>
        <w:tc>
          <w:tcPr>
            <w:tcW w:type="dxa" w:w="1744"/>
          </w:tcPr>
          <w:p>
            <w:r>
              <w:t>Tue 1 Dec 2026</w:t>
            </w:r>
          </w:p>
        </w:tc>
      </w:tr>
      <w:tr>
        <w:tc>
          <w:tcPr>
            <w:tcW w:type="dxa" w:w="1744"/>
          </w:tcPr>
          <w:p>
            <w:r>
              <w:t>B: right-size</w:t>
            </w:r>
          </w:p>
        </w:tc>
        <w:tc>
          <w:tcPr>
            <w:tcW w:type="dxa" w:w="1744"/>
          </w:tcPr>
          <w:p>
            <w:r>
              <w:t>Starter</w:t>
            </w:r>
          </w:p>
        </w:tc>
        <w:tc>
          <w:tcPr>
            <w:tcW w:type="dxa" w:w="1744"/>
          </w:tcPr>
          <w:p>
            <w:r>
              <w:t>Twenty-two thousand pounds</w:t>
            </w:r>
          </w:p>
        </w:tc>
        <w:tc>
          <w:tcPr>
            <w:tcW w:type="dxa" w:w="1744"/>
          </w:tcPr>
          <w:p>
            <w:r>
              <w:t>Starter allowance</w:t>
            </w:r>
          </w:p>
        </w:tc>
        <w:tc>
          <w:tcPr>
            <w:tcW w:type="dxa" w:w="1744"/>
          </w:tcPr>
          <w:p>
            <w:r>
              <w:t>Starter limit</w:t>
            </w:r>
          </w:p>
        </w:tc>
        <w:tc>
          <w:tcPr>
            <w:tcW w:type="dxa" w:w="1744"/>
          </w:tcPr>
          <w:p>
            <w:r>
              <w:t>Tue 1 Dec 2026</w:t>
            </w:r>
          </w:p>
        </w:tc>
      </w:tr>
    </w:tbl>
    <w:p>
      <w:pPr>
        <w:pStyle w:val="Source"/>
        <w:spacing w:after="200"/>
      </w:pPr>
      <w:r>
        <w:t>Source: B-Viz facts, as at Fri 9 Oct 2026; facts renewals_due, usage_headroom; price book doc_co_011</w:t>
      </w:r>
    </w:p>
    <w:p>
      <w:pPr>
        <w:pStyle w:val="Heading1"/>
      </w:pPr>
      <w:r>
        <w:t>Why Growth is still the right size, or not</w:t>
      </w:r>
    </w:p>
    <w:p>
      <w:pPr>
        <w:pStyle w:val="ListBullet"/>
      </w:pPr>
      <w:r>
        <w:t>Brackwell uses 14 of 40 seats (35%) and 7 of 8 connectors.</w:t>
      </w:r>
    </w:p>
    <w:p>
      <w:pPr>
        <w:pStyle w:val="ListBullet"/>
      </w:pPr>
      <w:r>
        <w:t>The price book lists Growth at fifty thousand pounds and Starter at twenty-two thousand pounds a year; discounts apply to a first term only.</w:t>
      </w:r>
    </w:p>
    <w:p>
      <w:pPr>
        <w:pStyle w:val="ListBullet"/>
      </w:pPr>
      <w:r>
        <w:t>The CRM holds £88,000 for Brackwell against £44,000 contracted: a duplicate record, not a second contract.</w:t>
      </w:r>
    </w:p>
    <w:p>
      <w:pPr>
        <w:pStyle w:val="Source"/>
        <w:spacing w:after="200"/>
      </w:pPr>
      <w:r>
        <w:t>Source: B-Viz facts, as at Fri 9 Oct 2026; facts arr, usage_headroom; price book doc_co_011</w:t>
      </w:r>
    </w:p>
    <w:p>
      <w:pPr>
        <w:pStyle w:val="Heading1"/>
      </w:pPr>
      <w:r>
        <w:t>Next steps</w:t>
      </w:r>
    </w:p>
    <w:p>
      <w:pPr>
        <w:pStyle w:val="ListNumber"/>
      </w:pPr>
      <w:r>
        <w:t>Tom Ashdown sends Gareth Whitlam a written line-by-line breakdown of the £50,000 Growth renewal figure, with options at the size Brackwell actually uses, before the 12 Oct 2026 renewal call.</w:t>
      </w:r>
    </w:p>
    <w:p>
      <w:pPr>
        <w:pStyle w:val="ListNumber"/>
      </w:pPr>
      <w:r>
        <w:t>Marcus Bell gives Tom the usage by team and depot so the options match the users Brackwell actually has.</w:t>
      </w:r>
    </w:p>
    <w:p>
      <w:pPr>
        <w:pStyle w:val="ListNumber"/>
      </w:pPr>
      <w:r>
        <w:t>Owen Tallis signs off the sized renewal options, including Starter, before they go to Gareth.</w:t>
      </w:r>
    </w:p>
    <w:p>
      <w:pPr>
        <w:pStyle w:val="ListNumber"/>
      </w:pPr>
      <w:r>
        <w:t>Sofia Marchetti agrees the depot adoption plan with Marcus ahead of the 13 Oct 2026 call with Aisha Rahman.</w:t>
      </w:r>
    </w:p>
    <w:sectPr w:rsidR="00FC693F" w:rsidRPr="0006063C" w:rsidSect="00034616">
      <w:headerReference w:type="default" r:id="rId9"/>
      <w:headerReference w:type="first" r:id="rId10"/>
      <w:footerReference w:type="default" r:id="rId11"/>
      <w:footerReference w:type="first" r:id="rId12"/>
      <w:pgSz w:w="11906" w:h="16838"/>
      <w:pgMar w:top="720" w:right="720" w:bottom="720" w:left="720" w:header="255" w:footer="283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altName w:val="Arial"/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nsolas">
    <w:altName w:val="Courier New"/>
    <w:family w:val="modern"/>
    <w:pitch w:val="fixed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ource"/>
      <w:tabs>
        <w:tab w:pos="10466" w:val="right"/>
      </w:tabs>
    </w:pPr>
    <w:r>
      <w:t>Source: B-Viz facts, as at Fri 9 Oct 2026</w:t>
      <w:tab/>
      <w:t xml:space="preserve">Page </w:t>
    </w:r>
    <w:fldSimple w:instr=" PAGE ">
      <w:r>
        <w:t>1</w:t>
      </w:r>
    </w:fldSimple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ource"/>
      <w:tabs>
        <w:tab w:pos="10466" w:val="right"/>
      </w:tabs>
    </w:pPr>
    <w:r>
      <w:t>Source: B-Viz facts, as at Fri 9 Oct 2026</w:t>
      <w:tab/>
      <w:t xml:space="preserve">Page </w:t>
    </w:r>
    <w:fldSimple w:instr=" PAGE 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 xmlns:a="http://schemas.openxmlformats.org/drawingml/2006/main">
      <w:drawing>
        <wp:inline distT="0" distB="0" distL="0" distR="0">
          <wp:extent cx="120000" cy="216000"/>
          <wp:effectExtent l="0" t="0" r="0" b="0"/>
          <wp:docPr id="9001" name="B-Viz symbol left"/>
          <wp:cNvGraphicFramePr/>
          <a:graphic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120000" cy="216000"/>
                  </a:xfrm>
                  <a:custGeom>
                    <a:avLst/>
                    <a:gdLst/>
                    <a:ahLst/>
                    <a:cxnLst/>
                    <a:rect l="0" t="0" r="r" b="b"/>
                    <a:pathLst>
                      <a:path w="40000" h="72000">
                        <a:moveTo>
                          <a:pt x="36000" y="0"/>
                        </a:moveTo>
                        <a:arcTo wR="36000" hR="36000" stAng="16200000" swAng="-10800000"/>
                        <a:close/>
                      </a:path>
                    </a:pathLst>
                  </a:custGeom>
                  <a:solidFill>
                    <a:srgbClr val="1F2430"/>
                  </a:solidFill>
                  <a:ln>
                    <a:noFill/>
                  </a:ln>
                </wps:spPr>
                <wps:bodyPr/>
              </wps:wsp>
            </a:graphicData>
          </a:graphic>
        </wp:inline>
      </w:drawing>
    </w:r>
    <w:r xmlns:a="http://schemas.openxmlformats.org/drawingml/2006/main">
      <w:drawing>
        <wp:inline distT="0" distB="0" distL="0" distR="0">
          <wp:extent cx="192000" cy="216000"/>
          <wp:effectExtent l="0" t="0" r="0" b="0"/>
          <wp:docPr id="9002" name="B-Viz symbol right"/>
          <wp:cNvGraphicFramePr/>
          <a:graphic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192000" cy="216000"/>
                  </a:xfrm>
                  <a:custGeom>
                    <a:avLst/>
                    <a:gdLst/>
                    <a:ahLst/>
                    <a:cxnLst/>
                    <a:rect l="0" t="0" r="r" b="b"/>
                    <a:pathLst>
                      <a:path w="64000" h="72000">
                        <a:moveTo>
                          <a:pt x="4000" y="0"/>
                        </a:moveTo>
                        <a:arcTo wR="36000" hR="36000" stAng="16200000" swAng="10800000"/>
                        <a:close/>
                      </a:path>
                    </a:pathLst>
                  </a:custGeom>
                  <a:solidFill>
                    <a:srgbClr val="E3A6A8"/>
                  </a:solidFill>
                  <a:ln>
                    <a:noFill/>
                  </a:ln>
                </wps:spPr>
                <wps:bodyPr/>
              </wps:wsp>
            </a:graphicData>
          </a:graphic>
        </wp:inline>
      </w:drawing>
    </w:r>
    <w:r>
      <w:rPr>
        <w:rFonts w:ascii="Calibri" w:hAnsi="Calibri" w:cs="Calibri" w:eastAsia="Calibri"/>
        <w:b/>
        <w:color w:val="1F2430"/>
        <w:spacing w:val="-9"/>
        <w:position w:val="6"/>
        <w:sz w:val="29"/>
        <w:szCs w:val="29"/>
      </w:rPr>
      <w:t>B-Viz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 xmlns:a="http://schemas.openxmlformats.org/drawingml/2006/main">
      <w:drawing>
        <wp:inline distT="0" distB="0" distL="0" distR="0">
          <wp:extent cx="120000" cy="216000"/>
          <wp:effectExtent l="0" t="0" r="0" b="0"/>
          <wp:docPr id="9011" name="B-Viz symbol left"/>
          <wp:cNvGraphicFramePr/>
          <a:graphic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120000" cy="216000"/>
                  </a:xfrm>
                  <a:custGeom>
                    <a:avLst/>
                    <a:gdLst/>
                    <a:ahLst/>
                    <a:cxnLst/>
                    <a:rect l="0" t="0" r="r" b="b"/>
                    <a:pathLst>
                      <a:path w="40000" h="72000">
                        <a:moveTo>
                          <a:pt x="36000" y="0"/>
                        </a:moveTo>
                        <a:arcTo wR="36000" hR="36000" stAng="16200000" swAng="-10800000"/>
                        <a:close/>
                      </a:path>
                    </a:pathLst>
                  </a:custGeom>
                  <a:solidFill>
                    <a:srgbClr val="1F2430"/>
                  </a:solidFill>
                  <a:ln>
                    <a:noFill/>
                  </a:ln>
                </wps:spPr>
                <wps:bodyPr/>
              </wps:wsp>
            </a:graphicData>
          </a:graphic>
        </wp:inline>
      </w:drawing>
    </w:r>
    <w:r xmlns:a="http://schemas.openxmlformats.org/drawingml/2006/main">
      <w:drawing>
        <wp:inline distT="0" distB="0" distL="0" distR="0">
          <wp:extent cx="192000" cy="216000"/>
          <wp:effectExtent l="0" t="0" r="0" b="0"/>
          <wp:docPr id="9012" name="B-Viz symbol right"/>
          <wp:cNvGraphicFramePr/>
          <a:graphic>
            <a:graphicData uri="http://schemas.microsoft.com/office/word/2010/wordprocessingShape">
              <wps:wsp>
                <wps:cNvSpPr/>
                <wps:spPr>
                  <a:xfrm>
                    <a:off x="0" y="0"/>
                    <a:ext cx="192000" cy="216000"/>
                  </a:xfrm>
                  <a:custGeom>
                    <a:avLst/>
                    <a:gdLst/>
                    <a:ahLst/>
                    <a:cxnLst/>
                    <a:rect l="0" t="0" r="r" b="b"/>
                    <a:pathLst>
                      <a:path w="64000" h="72000">
                        <a:moveTo>
                          <a:pt x="4000" y="0"/>
                        </a:moveTo>
                        <a:arcTo wR="36000" hR="36000" stAng="16200000" swAng="10800000"/>
                        <a:close/>
                      </a:path>
                    </a:pathLst>
                  </a:custGeom>
                  <a:solidFill>
                    <a:srgbClr val="E3A6A8"/>
                  </a:solidFill>
                  <a:ln>
                    <a:noFill/>
                  </a:ln>
                </wps:spPr>
                <wps:bodyPr/>
              </wps:wsp>
            </a:graphicData>
          </a:graphic>
        </wp:inline>
      </w:drawing>
    </w:r>
    <w:r>
      <w:rPr>
        <w:rFonts w:ascii="Calibri" w:hAnsi="Calibri" w:cs="Calibri" w:eastAsia="Calibri"/>
        <w:b/>
        <w:color w:val="1F2430"/>
        <w:spacing w:val="-9"/>
        <w:position w:val="6"/>
        <w:sz w:val="29"/>
        <w:szCs w:val="29"/>
      </w:rPr>
      <w:t>B-Viz</w:t>
    </w:r>
  </w:p>
  <w:p>
    <w:pPr>
      <w:pStyle w:val="Source"/>
      <w:spacing w:before="60"/>
    </w:pPr>
    <w:r>
      <w:rPr>
        <w:sz w:val="20"/>
      </w:rPr>
      <w:t>The visible brain of your business.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88" w:lineRule="auto"/>
    </w:pPr>
    <w:rPr>
      <w:rFonts w:ascii="Calibri" w:hAnsi="Calibri" w:cs="Calibri" w:eastAsia="Calibri"/>
      <w:b w:val="0"/>
      <w:color w:val="1F243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20"/>
      <w:outlineLvl w:val="0"/>
    </w:pPr>
    <w:rPr>
      <w:rFonts w:ascii="Calibri" w:hAnsi="Calibri" w:cs="Calibri" w:eastAsia="Calibri"/>
      <w:b/>
      <w:bCs/>
      <w:color w:val="1F2430"/>
      <w:spacing w:val="-8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Calibri" w:hAnsi="Calibri" w:cs="Calibri" w:eastAsia="Calibri"/>
      <w:b/>
      <w:bCs/>
      <w:color w:val="1F2430"/>
      <w:spacing w:val="-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60"/>
      <w:outlineLvl w:val="2"/>
    </w:pPr>
    <w:rPr>
      <w:rFonts w:ascii="Calibri" w:hAnsi="Calibri" w:cs="Calibri" w:eastAsia="Calibri"/>
      <w:b/>
      <w:bCs/>
      <w:color w:val="1F2430"/>
      <w:spacing w:val="-4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0"/>
      <w:contextualSpacing/>
    </w:pPr>
    <w:rPr>
      <w:rFonts w:ascii="Calibri" w:hAnsi="Calibri" w:cs="Calibri" w:eastAsia="Calibri"/>
      <w:b/>
      <w:color w:val="1F2430"/>
      <w:spacing w:val="-17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80"/>
    </w:pPr>
    <w:rPr>
      <w:rFonts w:ascii="Calibri" w:hAnsi="Calibri" w:cs="Calibri" w:eastAsia="Calibri"/>
      <w:b w:val="0"/>
      <w:color w:val="5A5F6B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qFormat/>
    <w:rsid w:val="00326F90"/>
    <w:pPr>
      <w:numPr>
        <w:numId w:val="1"/>
      </w:numPr>
      <w:spacing w:before="0" w:after="60" w:line="288" w:lineRule="auto"/>
      <w:contextualSpacing/>
    </w:pPr>
    <w:rPr>
      <w:rFonts w:ascii="Calibri" w:hAnsi="Calibri" w:cs="Calibri" w:eastAsia="Calibri"/>
      <w:b w:val="0"/>
      <w:color w:val="1F2430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qFormat/>
    <w:rsid w:val="00326F90"/>
    <w:pPr>
      <w:numPr>
        <w:numId w:val="5"/>
      </w:numPr>
      <w:spacing w:before="0" w:after="60" w:line="288" w:lineRule="auto"/>
      <w:contextualSpacing/>
    </w:pPr>
    <w:rPr>
      <w:rFonts w:ascii="Calibri" w:hAnsi="Calibri" w:cs="Calibri" w:eastAsia="Calibri"/>
      <w:b w:val="0"/>
      <w:color w:val="1F2430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Body">
    <w:name w:val="Body"/>
    <w:basedOn w:val="Normal"/>
    <w:qFormat/>
    <w:pPr>
      <w:spacing w:before="0" w:after="120" w:line="288" w:lineRule="auto"/>
    </w:pPr>
    <w:rPr>
      <w:rFonts w:ascii="Calibri" w:hAnsi="Calibri" w:cs="Calibri" w:eastAsia="Calibri"/>
      <w:b w:val="0"/>
      <w:color w:val="1F2430"/>
      <w:sz w:val="21"/>
    </w:rPr>
  </w:style>
  <w:style w:type="paragraph" w:customStyle="1" w:styleId="Figurecaption">
    <w:name w:val="Figure caption"/>
    <w:basedOn w:val="Normal"/>
    <w:qFormat/>
    <w:pPr>
      <w:spacing w:before="80" w:after="240"/>
    </w:pPr>
    <w:rPr>
      <w:rFonts w:ascii="Calibri" w:hAnsi="Calibri" w:cs="Calibri" w:eastAsia="Calibri"/>
      <w:b w:val="0"/>
      <w:color w:val="5A5F6B"/>
      <w:sz w:val="18"/>
    </w:rPr>
  </w:style>
  <w:style w:type="paragraph" w:customStyle="1" w:styleId="KPIfigure">
    <w:name w:val="KPI figure"/>
    <w:basedOn w:val="Normal"/>
    <w:qFormat/>
    <w:pPr>
      <w:spacing w:before="0" w:after="0" w:line="240" w:lineRule="auto"/>
    </w:pPr>
    <w:rPr>
      <w:rFonts w:ascii="Consolas" w:hAnsi="Consolas" w:cs="Consolas" w:eastAsia="Consolas"/>
      <w:b/>
      <w:color w:val="1F2430"/>
      <w:sz w:val="36"/>
    </w:rPr>
  </w:style>
  <w:style w:type="paragraph" w:customStyle="1" w:styleId="KPIlabel">
    <w:name w:val="KPI label"/>
    <w:basedOn w:val="Normal"/>
    <w:qFormat/>
    <w:pPr>
      <w:spacing w:before="40" w:after="0" w:line="240" w:lineRule="auto"/>
    </w:pPr>
    <w:rPr>
      <w:rFonts w:ascii="Calibri" w:hAnsi="Calibri" w:cs="Calibri" w:eastAsia="Calibri"/>
      <w:b/>
      <w:color w:val="1F2430"/>
      <w:sz w:val="19"/>
    </w:rPr>
  </w:style>
  <w:style w:type="paragraph" w:customStyle="1" w:styleId="KPInote">
    <w:name w:val="KPI note"/>
    <w:basedOn w:val="Normal"/>
    <w:qFormat/>
    <w:pPr>
      <w:spacing w:before="20" w:after="0" w:line="240" w:lineRule="auto"/>
    </w:pPr>
    <w:rPr>
      <w:rFonts w:ascii="Calibri" w:hAnsi="Calibri" w:cs="Calibri" w:eastAsia="Calibri"/>
      <w:b w:val="0"/>
      <w:color w:val="5A5F6B"/>
      <w:sz w:val="17"/>
    </w:rPr>
  </w:style>
  <w:style w:type="paragraph" w:customStyle="1" w:styleId="Source">
    <w:name w:val="Source"/>
    <w:basedOn w:val="Normal"/>
    <w:qFormat/>
    <w:pPr>
      <w:spacing w:before="0" w:after="0"/>
    </w:pPr>
    <w:rPr>
      <w:rFonts w:ascii="Calibri" w:hAnsi="Calibri" w:cs="Calibri" w:eastAsia="Calibri"/>
      <w:b w:val="0"/>
      <w:color w:val="5A5F6B"/>
      <w:sz w:val="17"/>
    </w:rPr>
  </w:style>
  <w:style w:type="character" w:customStyle="1" w:styleId="Figure">
    <w:name w:val="Figure"/>
    <w:qFormat/>
    <w:rPr>
      <w:rFonts w:ascii="Consolas" w:hAnsi="Consolas" w:cs="Consolas" w:eastAsia="Consolas"/>
      <w:b w:val="0"/>
      <w:color w:val="1F2430"/>
      <w:sz w:val="20"/>
    </w:rPr>
  </w:style>
  <w:style w:type="table" w:customStyle="1" w:styleId="BVizKPI">
    <w:name w:val="B-Viz KPI"/>
    <w:basedOn w:val="TableNormal"/>
    <w:uiPriority w:val="40"/>
    <w:qFormat/>
    <w:pPr>
      <w:spacing w:before="0" w:after="0"/>
    </w:pPr>
    <w:tblPr>
      <w:tblBorders>
        <w:top w:val="single" w:sz="18" w:space="0" w:color="E3A6A8"/>
        <w:insideV w:val="single" w:sz="48" w:space="0" w:color="FFFFFF"/>
      </w:tblBorders>
      <w:tblCellMar>
        <w:top w:w="120" w:type="dxa"/>
        <w:left w:w="140" w:type="dxa"/>
        <w:bottom w:w="120" w:type="dxa"/>
        <w:right w:w="140" w:type="dxa"/>
      </w:tblCellMar>
    </w:tblPr>
    <w:tcPr>
      <w:shd w:val="clear" w:color="auto" w:fill="F7F5F3"/>
    </w:tcPr>
  </w:style>
  <w:style w:type="table" w:customStyle="1" w:styleId="BVizPlain">
    <w:name w:val="B-Viz plain"/>
    <w:basedOn w:val="TableNormal"/>
    <w:uiPriority w:val="41"/>
    <w:qFormat/>
    <w:pPr>
      <w:spacing w:before="0" w:after="0"/>
    </w:pPr>
    <w:rPr>
      <w:sz w:val="19"/>
    </w:rPr>
    <w:tblPr>
      <w:tblBorders>
        <w:top w:val="single" w:sz="4" w:space="0" w:color="E4DEDB"/>
        <w:bottom w:val="single" w:sz="4" w:space="0" w:color="E4DEDB"/>
        <w:insideH w:val="single" w:sz="4" w:space="0" w:color="E4DEDB"/>
      </w:tblBorders>
      <w:tblCellMar>
        <w:top w:w="30" w:type="dxa"/>
        <w:left w:w="140" w:type="dxa"/>
        <w:bottom w:w="30" w:type="dxa"/>
        <w:right w:w="140" w:type="dxa"/>
      </w:tblCellMar>
    </w:tblPr>
    <w:tcPr>
      <w:shd w:val="clear" w:color="auto" w:fill="FFFFFF"/>
    </w:tcPr>
    <w:tblStylePr w:type="firstRow">
      <w:rPr>
        <w:b/>
        <w:color w:val="1F2430"/>
      </w:rPr>
      <w:tcPr>
        <w:tcBorders>
          <w:bottom w:val="single" w:sz="12" w:space="0" w:color="1F2430"/>
        </w:tcBorders>
        <w:shd w:val="clear" w:color="auto" w:fill="F7F5F3"/>
      </w:tcPr>
    </w:tblStylePr>
    <w:tblStylePr w:type="lastRow">
      <w:rPr>
        <w:b/>
      </w:rPr>
      <w:tcPr>
        <w:tcBorders>
          <w:top w:val="single" w:sz="12" w:space="0" w:color="1F2430"/>
        </w:tcBorders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-Viz">
  <a:themeElements>
    <a:clrScheme name="B-Viz light">
      <a:dk1>
        <a:srgbClr val="1F2430"/>
      </a:dk1>
      <a:lt1>
        <a:srgbClr val="F7F5F3"/>
      </a:lt1>
      <a:dk2>
        <a:srgbClr val="3A4150"/>
      </a:dk2>
      <a:lt2>
        <a:srgbClr val="FFFFFF"/>
      </a:lt2>
      <a:accent1>
        <a:srgbClr val="1F2430"/>
      </a:accent1>
      <a:accent2>
        <a:srgbClr val="D27073"/>
      </a:accent2>
      <a:accent3>
        <a:srgbClr val="5B6B9E"/>
      </a:accent3>
      <a:accent4>
        <a:srgbClr val="9E4A50"/>
      </a:accent4>
      <a:accent5>
        <a:srgbClr val="6E9584"/>
      </a:accent5>
      <a:accent6>
        <a:srgbClr val="B18741"/>
      </a:accent6>
      <a:hlink>
        <a:srgbClr val="9E4A50"/>
      </a:hlink>
      <a:folHlink>
        <a:srgbClr val="5A5F6B"/>
      </a:folHlink>
    </a:clrScheme>
    <a:fontScheme name="B-Viz">
      <a:majorFont>
        <a:latin typeface="Calibri" pitchFamily="34" charset="0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itchFamily="34" charset="0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-Viz flat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custClrLst>
    <a:custClr name="paper">
      <a:srgbClr val="F7F5F3"/>
    </a:custClr>
    <a:custClr name="surface">
      <a:srgbClr val="FFFFFF"/>
    </a:custClr>
    <a:custClr name="ink">
      <a:srgbClr val="1F2430"/>
    </a:custClr>
    <a:custClr name="text-muted">
      <a:srgbClr val="5A5F6B"/>
    </a:custClr>
    <a:custClr name="border">
      <a:srgbClr val="E4DEDB"/>
    </a:custClr>
    <a:custClr name="slate">
      <a:srgbClr val="3A4150"/>
    </a:custClr>
    <a:custClr name="brain-pink">
      <a:srgbClr val="E3A6A8"/>
    </a:custClr>
    <a:custClr name="pink-text">
      <a:srgbClr val="9E4A50"/>
    </a:custClr>
    <a:custClr name="brand-ink">
      <a:srgbClr val="1F2430"/>
    </a:custClr>
    <a:custClr name="brand-paper">
      <a:srgbClr val="F7F5F3"/>
    </a:custClr>
    <a:custClr name="good">
      <a:srgbClr val="008226"/>
    </a:custClr>
    <a:custClr name="watch">
      <a:srgbClr val="8A5A00"/>
    </a:custClr>
    <a:custClr name="bad">
      <a:srgbClr val="B8430B"/>
    </a:custClr>
    <a:custClr name="chart-1">
      <a:srgbClr val="1F2430"/>
    </a:custClr>
    <a:custClr name="chart-2">
      <a:srgbClr val="D27073"/>
    </a:custClr>
    <a:custClr name="chart-3">
      <a:srgbClr val="5B6B9E"/>
    </a:custClr>
    <a:custClr name="chart-4">
      <a:srgbClr val="9E4A50"/>
    </a:custClr>
    <a:custClr name="chart-5">
      <a:srgbClr val="6E9584"/>
    </a:custClr>
    <a:custClr name="chart-6">
      <a:srgbClr val="B18741"/>
    </a:custClr>
  </a:custClr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Renewal proposal: Brackwell Freight Ltd</dc:title>
  <dc:subject>B-Viz brand kit</dc:subject>
  <dc:creator>B-Viz</dc:creator>
  <cp:keywords/>
  <dc:description>generated by python-docx</dc:description>
  <cp:lastModifiedBy>B-Viz</cp:lastModifiedBy>
  <cp:revision>1</cp:revision>
  <dcterms:created xsi:type="dcterms:W3CDTF">2026-10-09T09:00:00Z</dcterms:created>
  <dcterms:modified xsi:type="dcterms:W3CDTF">2026-10-23T16:58:22Z</dcterms:modified>
  <cp:category/>
</cp:coreProperties>
</file>