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What is working, and a proposal for Sandusky Bay Mutual Insurance</w:t>
      </w:r>
    </w:p>
    <w:p>
      <w:pPr>
        <w:pStyle w:val="Subtitle"/>
      </w:pPr>
      <w:r>
        <w:t>Prospect pack as at Fri 9 Oct 2026</w:t>
      </w:r>
    </w:p>
    <w:p>
      <w:pPr>
        <w:pStyle w:val="Heading2"/>
      </w:pPr>
      <w:r>
        <w:t>What is working with our best customers</w:t>
      </w:r>
    </w:p>
    <w:p>
      <w:pPr>
        <w:pStyle w:val="Body"/>
      </w:pPr>
      <w:r>
        <w:t>60 of our 91 customers are Growing or Healthy on B-Viz's assessment, with £3,190,500 of the £4,528,000 contracted ARR.</w:t>
      </w:r>
    </w:p>
    <w:tbl>
      <w:tblPr>
        <w:tblStyle w:val="BVizKPI"/>
        <w:tblW w:type="auto" w:w="0"/>
        <w:tblLook w:firstColumn="1" w:firstRow="1" w:lastColumn="0" w:lastRow="0" w:noHBand="0" w:noVBand="1" w:val="04A0"/>
      </w:tblPr>
      <w:tblGrid>
        <w:gridCol w:w="2616"/>
        <w:gridCol w:w="2616"/>
        <w:gridCol w:w="2616"/>
        <w:gridCol w:w="2616"/>
      </w:tblGrid>
      <w:tr>
        <w:tc>
          <w:tcPr>
            <w:tcW w:type="dxa" w:w="2616"/>
            <w:noWrap/>
          </w:tcPr>
          <w:p>
            <w:pPr>
              <w:pStyle w:val="KPIfigure"/>
            </w:pPr>
            <w:r>
              <w:rPr>
                <w:sz w:val="36"/>
              </w:rPr>
              <w:t>6</w:t>
            </w:r>
          </w:p>
          <w:p>
            <w:pPr>
              <w:pStyle w:val="KPIlabel"/>
            </w:pPr>
            <w:r>
              <w:t>Insurance customers</w:t>
            </w:r>
          </w:p>
          <w:p>
            <w:pPr>
              <w:pStyle w:val="KPInote"/>
            </w:pPr>
            <w:r>
              <w:t>£496,250 of ARR</w:t>
            </w:r>
          </w:p>
        </w:tc>
        <w:tc>
          <w:tcPr>
            <w:tcW w:type="dxa" w:w="2616"/>
            <w:noWrap/>
          </w:tcPr>
          <w:p>
            <w:pPr>
              <w:pStyle w:val="KPIfigure"/>
            </w:pPr>
            <w:r>
              <w:rPr>
                <w:sz w:val="36"/>
              </w:rPr>
              <w:t>£82,708</w:t>
            </w:r>
          </w:p>
          <w:p>
            <w:pPr>
              <w:pStyle w:val="KPIlabel"/>
            </w:pPr>
            <w:r>
              <w:t>Average per customer</w:t>
            </w:r>
          </w:p>
          <w:p>
            <w:pPr>
              <w:pStyle w:val="KPInote"/>
            </w:pPr>
            <w:r>
              <w:t>Insurance</w:t>
            </w:r>
          </w:p>
        </w:tc>
        <w:tc>
          <w:tcPr>
            <w:tcW w:type="dxa" w:w="2616"/>
            <w:noWrap/>
          </w:tcPr>
          <w:p>
            <w:pPr>
              <w:pStyle w:val="KPIfigure"/>
            </w:pPr>
            <w:r>
              <w:rPr>
                <w:sz w:val="36"/>
              </w:rPr>
              <w:t>415 staff</w:t>
            </w:r>
          </w:p>
          <w:p>
            <w:pPr>
              <w:pStyle w:val="KPIlabel"/>
            </w:pPr>
            <w:r>
              <w:t>Median size</w:t>
            </w:r>
          </w:p>
          <w:p>
            <w:pPr>
              <w:pStyle w:val="KPInote"/>
            </w:pPr>
            <w:r>
              <w:t>customers doing best</w:t>
            </w:r>
          </w:p>
        </w:tc>
        <w:tc>
          <w:tcPr>
            <w:tcW w:type="dxa" w:w="2616"/>
            <w:noWrap/>
          </w:tcPr>
          <w:p>
            <w:pPr>
              <w:pStyle w:val="KPIfigure"/>
            </w:pPr>
            <w:r>
              <w:rPr>
                <w:sz w:val="36"/>
              </w:rPr>
              <w:t>79.9%</w:t>
            </w:r>
          </w:p>
          <w:p>
            <w:pPr>
              <w:pStyle w:val="KPIlabel"/>
            </w:pPr>
            <w:r>
              <w:t>Seats in use</w:t>
            </w:r>
          </w:p>
          <w:p>
            <w:pPr>
              <w:pStyle w:val="KPInote"/>
            </w:pPr>
            <w:r>
              <w:t>74.9% for Watch or At risk</w:t>
            </w:r>
          </w:p>
        </w:tc>
      </w:tr>
    </w:tbl>
    <w:p>
      <w:pPr>
        <w:pStyle w:val="Body"/>
        <w:spacing w:after="0"/>
      </w:pPr>
    </w:p>
    <w:p>
      <w:pPr>
        <w:pStyle w:val="Source"/>
        <w:spacing w:after="200"/>
      </w:pPr>
      <w:r>
        <w:t>Source: B-Viz facts, as at Fri 9 Oct 2026; query chat.statuses, chat.organisations, chat.usage</w:t>
      </w:r>
    </w:p>
    <w:p>
      <w:pPr>
        <w:pStyle w:val="Heading2"/>
      </w:pPr>
      <w:r>
        <w:t>Insurance leads the customers doing best</w:t>
      </w:r>
    </w:p>
    <w:p>
      <w:pPr>
        <w:pStyle w:val="Body"/>
        <w:keepNext/>
      </w:pPr>
      <w:r>
        <w:drawing>
          <wp:inline xmlns:a="http://schemas.openxmlformats.org/drawingml/2006/main" xmlns:pic="http://schemas.openxmlformats.org/drawingml/2006/picture">
            <wp:extent cx="6645600" cy="1462032"/>
            <wp:docPr id="1" name="Picture 1"/>
            <wp:cNvGraphicFramePr>
              <a:graphicFrameLocks noChangeAspect="1"/>
            </wp:cNvGraphicFramePr>
            <a:graphic>
              <a:graphicData uri="http://schemas.openxmlformats.org/drawingml/2006/picture">
                <pic:pic>
                  <pic:nvPicPr>
                    <pic:cNvPr id="0" name="c00abfe1d3ce-74a6733d.png"/>
                    <pic:cNvPicPr/>
                  </pic:nvPicPr>
                  <pic:blipFill>
                    <a:blip r:embed="rId13"/>
                    <a:stretch>
                      <a:fillRect/>
                    </a:stretch>
                  </pic:blipFill>
                  <pic:spPr>
                    <a:xfrm>
                      <a:off x="0" y="0"/>
                      <a:ext cx="6645600" cy="1462032"/>
                    </a:xfrm>
                    <a:prstGeom prst="rect"/>
                  </pic:spPr>
                </pic:pic>
              </a:graphicData>
            </a:graphic>
          </wp:inline>
        </w:drawing>
      </w:r>
    </w:p>
    <w:p>
      <w:pPr>
        <w:pStyle w:val="Figurecaption"/>
      </w:pPr>
      <w:r>
        <w:t>Figure 1. Customers whose AI assessment is Growing or Healthy</w:t>
      </w:r>
    </w:p>
    <w:p>
      <w:pPr>
        <w:pStyle w:val="Source"/>
        <w:spacing w:after="200"/>
      </w:pPr>
      <w:r>
        <w:t>Source: B-Viz facts, as at Fri 9 Oct 2026; query chat.statuses, chat.organisations</w:t>
      </w:r>
    </w:p>
    <w:p>
      <w:pPr>
        <w:pStyle w:val="Heading1"/>
      </w:pPr>
      <w:r>
        <w:t>The pattern, and what they value</w:t>
      </w:r>
    </w:p>
    <w:p>
      <w:pPr>
        <w:pStyle w:val="ListBullet"/>
      </w:pPr>
      <w:r>
        <w:t>Industry: Insurance, where 3 insurers are on Enterprise (420 to 1,250 employees each) and the others are Payments and Logistics.</w:t>
      </w:r>
    </w:p>
    <w:p>
      <w:pPr>
        <w:pStyle w:val="ListBullet"/>
      </w:pPr>
      <w:r>
        <w:t>Size: the median customer doing best has 415 staff.</w:t>
      </w:r>
    </w:p>
    <w:p>
      <w:pPr>
        <w:pStyle w:val="ListBullet"/>
      </w:pPr>
      <w:r>
        <w:t>Use: customers doing best use 79.9% of their seats on average, against 74.9% for the rest.</w:t>
      </w:r>
    </w:p>
    <w:p>
      <w:pPr>
        <w:pStyle w:val="ListBullet"/>
      </w:pPr>
      <w:r>
        <w:t>What they value: speed of answers. Imogen Hartley, Fenmoor, said on Thu 24 Sep 2026: "The real question for us at the moment is how quickly we can answer an oversight question from a capacity provider without somebody disappearing for two days to assemble it." Clare Huddleston credits the partner-scheme view with saving time, and Phil Catterall is the sole admin running rollout. (Penwortham Mutual).</w:t>
      </w:r>
    </w:p>
    <w:p>
      <w:pPr>
        <w:pStyle w:val="Source"/>
        <w:spacing w:after="200"/>
      </w:pPr>
      <w:r>
        <w:t>Source: B-Viz facts, as at Fri 9 Oct 2026; query chat.*; get_document assessment:org_097, assessment:org_001</w:t>
      </w:r>
    </w:p>
    <w:p>
      <w:pPr>
        <w:pStyle w:val="Heading1"/>
      </w:pPr>
      <w:r>
        <w:t>Prospects that look like them</w:t>
      </w:r>
    </w:p>
    <w:p>
      <w:pPr>
        <w:pStyle w:val="Body"/>
      </w:pPr>
      <w:r>
        <w:t>Insurers with an open Enterprise deal: the proposal's subject first, then the next calls booked. All three are US firms; the Enterprise insurers we serve are UK and EU.</w:t>
      </w:r>
    </w:p>
    <w:p>
      <w:pPr>
        <w:pStyle w:val="ListBullet"/>
      </w:pPr>
      <w:r>
        <w:t>Sandusky Bay Mutual Insurance (Milwaukee, US; 680 staff; demo stage; £155,000): call on 13 Oct 2026. Prospect, with Jordan Pike as the active owner and the colleague with the most calls. The proposal call on 13 Oct 2026 is booked with Heidi and Randall, and the evidence does not show other approvers or a security review date.</w:t>
      </w:r>
    </w:p>
    <w:p>
      <w:pPr>
        <w:pStyle w:val="ListBullet"/>
      </w:pPr>
      <w:r>
        <w:t>Sauganash Specialty Insurance (Chicago, US; 900 staff; proposal stage; £155,000): call on 12 Oct 2026. Prospect, owned by Jordan Pike, with four security items still open. Earlier outreach from Jan 2024 drew no replies; a negotiation call with Glenn and Courtney Bauer is booked for 12 Oct 2026, and its outcome is not on record.</w:t>
      </w:r>
    </w:p>
    <w:p>
      <w:pPr>
        <w:pStyle w:val="ListBullet"/>
      </w:pPr>
      <w:r>
        <w:t>Halberd Point Insurance (Hartford, US; 480 staff; demo stage; £155,000): call on 14 Oct 2026. Prospect, worked by Jordan Pike with Hannah Lowe, with a proposal call booked for 14 Oct 2026 at 16:15. The security review and finance sign-off are the gates before any commitment.</w:t>
      </w:r>
    </w:p>
    <w:p>
      <w:pPr>
        <w:pStyle w:val="Source"/>
        <w:spacing w:after="200"/>
      </w:pPr>
      <w:r>
        <w:t>Source: B-Viz facts, as at Fri 9 Oct 2026; query chat.pipeline, chat.calls; get_document assessment:&lt;org&gt;</w:t>
      </w:r>
    </w:p>
    <w:p>
      <w:pPr>
        <w:pStyle w:val="Heading1"/>
      </w:pPr>
      <w:r>
        <w:t>Why Sandusky Bay Mutual Insurance is first</w:t>
      </w:r>
    </w:p>
    <w:p>
      <w:pPr>
        <w:pStyle w:val="Body"/>
      </w:pPr>
      <w:r>
        <w:t>Sandusky Bay Mutual Insurance has 0 proposals on record (only a security questionnaire is on file) and its proposal call is Tue 13 Oct 2026. The proposal call on 13 Oct 2026 is booked with Heidi Krueger and Randall Schmitt, the economic buyer. Randall has joined only the discovery call, and Heidi hesitated on the £155,000 first-year price in July.</w:t>
      </w:r>
    </w:p>
    <w:p>
      <w:pPr>
        <w:pStyle w:val="Source"/>
        <w:spacing w:after="200"/>
      </w:pPr>
      <w:r>
        <w:t>Source: B-Viz facts, as at Fri 9 Oct 2026; get_document next_steps:org_189, assessment:org_189</w:t>
      </w:r>
    </w:p>
    <w:p>
      <w:pPr>
        <w:pStyle w:val="Heading1"/>
      </w:pPr>
      <w:r>
        <w:t>What we heard</w:t>
      </w:r>
    </w:p>
    <w:p>
      <w:pPr>
        <w:pStyle w:val="ListBullet"/>
      </w:pPr>
      <w:r>
        <w:t>Heidi and Randall described a CRM, a call system, email and spreadsheets, with agents' questions needing three systems to answer several times a week.</w:t>
      </w:r>
    </w:p>
    <w:p>
      <w:pPr>
        <w:pStyle w:val="ListBullet"/>
      </w:pPr>
      <w:r>
        <w:t>Heidi accepted nightly refresh by 07:00 local time on business days with "Okay, that works for us." She closed with "I'm pretty convinced."</w:t>
      </w:r>
    </w:p>
    <w:p>
      <w:pPr>
        <w:pStyle w:val="Source"/>
        <w:spacing w:after="200"/>
      </w:pPr>
      <w:r>
        <w:t>Source: B-Viz facts, as at Fri 9 Oct 2026; get_document object_read:call_189_001, object_read:call_189_002</w:t>
      </w:r>
    </w:p>
    <w:p>
      <w:pPr>
        <w:pStyle w:val="Body"/>
        <w:ind w:left="454"/>
      </w:pPr>
      <w:r>
        <w:rPr>
          <w:i/>
          <w:sz w:val="26"/>
        </w:rPr>
        <w:t>“We're scrambling through three systems to give them an answer.”</w:t>
      </w:r>
    </w:p>
    <w:p>
      <w:pPr>
        <w:pStyle w:val="KPInote"/>
        <w:ind w:left="454"/>
      </w:pPr>
      <w:r>
        <w:t>Randall Schmitt, discovery call, Mon 27 Jul 2026</w:t>
      </w:r>
    </w:p>
    <w:p>
      <w:pPr>
        <w:pStyle w:val="Source"/>
        <w:spacing w:after="200"/>
      </w:pPr>
      <w:r>
        <w:t>Source: B-Viz facts, as at Fri 9 Oct 2026; get_document call_189_001 (transcript)</w:t>
      </w:r>
    </w:p>
    <w:p>
      <w:pPr>
        <w:pStyle w:val="Heading2"/>
      </w:pPr>
      <w:r>
        <w:t>What we propose</w:t>
      </w:r>
    </w:p>
    <w:tbl>
      <w:tblPr>
        <w:tblStyle w:val="BVizPlain"/>
        <w:tblW w:type="auto" w:w="0"/>
        <w:tblLook w:firstColumn="1" w:firstRow="1" w:lastColumn="0" w:lastRow="0" w:noHBand="1" w:noVBand="1" w:val="04A0"/>
      </w:tblPr>
      <w:tblGrid>
        <w:gridCol w:w="3489"/>
        <w:gridCol w:w="3489"/>
        <w:gridCol w:w="3489"/>
      </w:tblGrid>
      <w:tr>
        <w:trPr>
          <w:tblHeader/>
        </w:trPr>
        <w:tc>
          <w:tcPr>
            <w:tcW w:type="dxa" w:w="3489"/>
          </w:tcPr>
          <w:p>
            <w:pPr>
              <w:keepNext/>
            </w:pPr>
            <w:r>
              <w:rPr>
                <w:b/>
                <w:color w:val="1F2430"/>
              </w:rPr>
              <w:t>Item</w:t>
            </w:r>
          </w:p>
        </w:tc>
        <w:tc>
          <w:tcPr>
            <w:tcW w:type="dxa" w:w="3489"/>
          </w:tcPr>
          <w:p>
            <w:pPr>
              <w:keepNext/>
            </w:pPr>
            <w:r>
              <w:rPr>
                <w:b/>
                <w:color w:val="1F2430"/>
              </w:rPr>
              <w:t>What it is</w:t>
            </w:r>
          </w:p>
        </w:tc>
        <w:tc>
          <w:tcPr>
            <w:tcW w:type="dxa" w:w="3489"/>
          </w:tcPr>
          <w:p>
            <w:pPr>
              <w:keepNext/>
            </w:pPr>
            <w:r>
              <w:rPr>
                <w:b/>
                <w:color w:val="1F2430"/>
              </w:rPr>
              <w:t>Price</w:t>
            </w:r>
          </w:p>
        </w:tc>
      </w:tr>
      <w:tr>
        <w:tc>
          <w:tcPr>
            <w:tcW w:type="dxa" w:w="3489"/>
          </w:tcPr>
          <w:p>
            <w:r>
              <w:t>Enterprise subscription</w:t>
            </w:r>
          </w:p>
        </w:tc>
        <w:tc>
          <w:tcPr>
            <w:tcW w:type="dxa" w:w="3489"/>
          </w:tcPr>
          <w:p>
            <w:r>
              <w:t>Company-wide use, the dashboards builder, quarterly reviews, SSO and SCIM, an executive sponsor</w:t>
            </w:r>
          </w:p>
        </w:tc>
        <w:tc>
          <w:tcPr>
            <w:tcW w:type="dxa" w:w="3489"/>
          </w:tcPr>
          <w:p>
            <w:r>
              <w:t>one hundred and twenty-five thousand pounds, a year</w:t>
            </w:r>
          </w:p>
        </w:tc>
      </w:tr>
      <w:tr>
        <w:tc>
          <w:tcPr>
            <w:tcW w:type="dxa" w:w="3489"/>
          </w:tcPr>
          <w:p>
            <w:r>
              <w:t>Implementation</w:t>
            </w:r>
          </w:p>
        </w:tc>
        <w:tc>
          <w:tcPr>
            <w:tcW w:type="dxa" w:w="3489"/>
          </w:tcPr>
          <w:p>
            <w:r>
              <w:t>Fixed fee, built inside your own Snowflake account; twelve weeks, kicking off in early November if signed in time</w:t>
            </w:r>
          </w:p>
        </w:tc>
        <w:tc>
          <w:tcPr>
            <w:tcW w:type="dxa" w:w="3489"/>
          </w:tcPr>
          <w:p>
            <w:r>
              <w:t>£30,000 (the CRM amount less the list subscription; £30,000 was invoiced for another Enterprise insurer)</w:t>
            </w:r>
          </w:p>
        </w:tc>
      </w:tr>
      <w:tr>
        <w:tc>
          <w:tcPr>
            <w:tcW w:type="dxa" w:w="3489"/>
          </w:tcPr>
          <w:p>
            <w:r>
              <w:t>First-year investment</w:t>
            </w:r>
          </w:p>
        </w:tc>
        <w:tc>
          <w:tcPr>
            <w:tcW w:type="dxa" w:w="3489"/>
          </w:tcPr>
          <w:p>
            <w:r>
              <w:t>Subscription plus implementation, as the CRM deal states it</w:t>
            </w:r>
          </w:p>
        </w:tc>
        <w:tc>
          <w:tcPr>
            <w:tcW w:type="dxa" w:w="3489"/>
          </w:tcPr>
          <w:p>
            <w:r>
              <w:t>£155,000</w:t>
            </w:r>
          </w:p>
        </w:tc>
      </w:tr>
      <w:tr>
        <w:tc>
          <w:tcPr>
            <w:tcW w:type="dxa" w:w="3489"/>
          </w:tcPr>
          <w:p>
            <w:r>
              <w:t>Add-ons</w:t>
            </w:r>
          </w:p>
        </w:tc>
        <w:tc>
          <w:tcPr>
            <w:tcW w:type="dxa" w:w="3489"/>
          </w:tcPr>
          <w:p>
            <w:r>
              <w:t>Premium support with a named engineer, Sandbox, on-site training day</w:t>
            </w:r>
          </w:p>
        </w:tc>
        <w:tc>
          <w:tcPr>
            <w:tcW w:type="dxa" w:w="3489"/>
          </w:tcPr>
          <w:p>
            <w:r>
              <w:t>Quoted separately on the order form</w:t>
            </w:r>
          </w:p>
        </w:tc>
      </w:tr>
      <w:tr>
        <w:tc>
          <w:tcPr>
            <w:tcW w:type="dxa" w:w="3489"/>
          </w:tcPr>
          <w:p>
            <w:r>
              <w:t>Discount</w:t>
            </w:r>
          </w:p>
        </w:tc>
        <w:tc>
          <w:tcPr>
            <w:tcW w:type="dxa" w:w="3489"/>
          </w:tcPr>
          <w:p>
            <w:r>
              <w:t>None offered; a discount needs CEO approval</w:t>
            </w:r>
          </w:p>
        </w:tc>
        <w:tc>
          <w:tcPr>
            <w:tcW w:type="dxa" w:w="3489"/>
          </w:tcPr>
          <w:p>
            <w:r>
              <w:t>List price</w:t>
            </w:r>
          </w:p>
        </w:tc>
      </w:tr>
    </w:tbl>
    <w:p>
      <w:pPr>
        <w:pStyle w:val="Source"/>
        <w:spacing w:after="200"/>
      </w:pPr>
      <w:r>
        <w:t>Source: B-Viz facts, as at Fri 9 Oct 2026; price book doc_co_011; query chat.deals</w:t>
      </w:r>
    </w:p>
    <w:p>
      <w:pPr>
        <w:pStyle w:val="Heading1"/>
      </w:pPr>
      <w:r>
        <w:t>Security and service</w:t>
      </w:r>
    </w:p>
    <w:p>
      <w:pPr>
        <w:pStyle w:val="ListBullet"/>
      </w:pPr>
      <w:r>
        <w:t>The nightly refresh completes by 07:00 your local time on business days; Enterprise is the tier credited for data freshness.</w:t>
      </w:r>
    </w:p>
    <w:p>
      <w:pPr>
        <w:pStyle w:val="ListBullet"/>
      </w:pPr>
      <w:r>
        <w:t>Security review: BG-Demo completed the Enterprise security questionnaire on 12 Sep 2026; we will agree the review owner and the review plan before signature.</w:t>
      </w:r>
    </w:p>
    <w:p>
      <w:pPr>
        <w:pStyle w:val="Source"/>
        <w:spacing w:after="200"/>
      </w:pPr>
      <w:r>
        <w:t>Source: B-Viz facts, as at Fri 9 Oct 2026; get_document assessment:org_189</w:t>
      </w:r>
    </w:p>
    <w:p>
      <w:pPr>
        <w:pStyle w:val="Heading1"/>
      </w:pPr>
      <w:r>
        <w:t>Next steps</w:t>
      </w:r>
    </w:p>
    <w:p>
      <w:pPr>
        <w:pStyle w:val="ListNumber"/>
      </w:pPr>
      <w:r>
        <w:t>Proposal call, Tue 13 Oct 2026: confirm who signs and who approves the spend.</w:t>
      </w:r>
    </w:p>
    <w:p>
      <w:pPr>
        <w:pStyle w:val="ListNumber"/>
      </w:pPr>
      <w:r>
        <w:t>Agree the security review owner and the review plan.</w:t>
      </w:r>
    </w:p>
    <w:p>
      <w:pPr>
        <w:pStyle w:val="ListNumber"/>
      </w:pPr>
      <w:r>
        <w:t>Send the order form with the subscription and implementation split.</w:t>
      </w:r>
    </w:p>
    <w:p>
      <w:pPr>
        <w:pStyle w:val="ListNumber"/>
      </w:pPr>
      <w:r>
        <w:t>Kick off in early November if the order form is signed in the next couple of weeks.</w:t>
      </w:r>
    </w:p>
    <w:sectPr w:rsidR="00FC693F" w:rsidRPr="0006063C" w:rsidSect="00034616">
      <w:headerReference w:type="default" r:id="rId9"/>
      <w:headerReference w:type="first" r:id="rId10"/>
      <w:footerReference w:type="default" r:id="rId11"/>
      <w:footerReference w:type="first" r:id="rId12"/>
      <w:pgSz w:w="11906" w:h="16838"/>
      <w:pgMar w:top="720" w:right="720" w:bottom="720" w:left="720" w:header="255" w:footer="28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altName w:val="Arial"/>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nsolas">
    <w:altName w:val="Courier New"/>
    <w:family w:val="modern"/>
    <w:pitch w:val="fixed"/>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
      <w:tabs>
        <w:tab w:pos="10466" w:val="right"/>
      </w:tabs>
    </w:pPr>
    <w:r>
      <w:t>Source: B-Viz facts, as at Fri 9 Oct 2026</w:t>
      <w:tab/>
      <w:t xml:space="preserve">Page </w:t>
    </w:r>
    <w:fldSimple w:instr=" PAGE ">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
      <w:tabs>
        <w:tab w:pos="10466" w:val="right"/>
      </w:tabs>
    </w:pPr>
    <w:r>
      <w:t>Source: B-Viz facts, as at Fri 9 Oct 2026</w:t>
      <w:tab/>
      <w:t xml:space="preserve">Page </w:t>
    </w:r>
    <w:fldSimple w:instr=" PAGE ">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xmlns:a="http://schemas.openxmlformats.org/drawingml/2006/main">
      <w:drawing>
        <wp:inline distT="0" distB="0" distL="0" distR="0">
          <wp:extent cx="120000" cy="216000"/>
          <wp:effectExtent l="0" t="0" r="0" b="0"/>
          <wp:docPr id="9001" name="B-Viz symbol left"/>
          <wp:cNvGraphicFramePr/>
          <a:graphic>
            <a:graphicData uri="http://schemas.microsoft.com/office/word/2010/wordprocessingShape">
              <wps:wsp>
                <wps:cNvSpPr/>
                <wps:spPr>
                  <a:xfrm>
                    <a:off x="0" y="0"/>
                    <a:ext cx="120000" cy="216000"/>
                  </a:xfrm>
                  <a:custGeom>
                    <a:avLst/>
                    <a:gdLst/>
                    <a:ahLst/>
                    <a:cxnLst/>
                    <a:rect l="0" t="0" r="r" b="b"/>
                    <a:pathLst>
                      <a:path w="40000" h="72000">
                        <a:moveTo>
                          <a:pt x="36000" y="0"/>
                        </a:moveTo>
                        <a:arcTo wR="36000" hR="36000" stAng="16200000" swAng="-10800000"/>
                        <a:close/>
                      </a:path>
                    </a:pathLst>
                  </a:custGeom>
                  <a:solidFill>
                    <a:srgbClr val="1F2430"/>
                  </a:solidFill>
                  <a:ln>
                    <a:noFill/>
                  </a:ln>
                </wps:spPr>
                <wps:bodyPr/>
              </wps:wsp>
            </a:graphicData>
          </a:graphic>
        </wp:inline>
      </w:drawing>
    </w:r>
    <w:r xmlns:a="http://schemas.openxmlformats.org/drawingml/2006/main">
      <w:drawing>
        <wp:inline distT="0" distB="0" distL="0" distR="0">
          <wp:extent cx="192000" cy="216000"/>
          <wp:effectExtent l="0" t="0" r="0" b="0"/>
          <wp:docPr id="9002" name="B-Viz symbol right"/>
          <wp:cNvGraphicFramePr/>
          <a:graphic>
            <a:graphicData uri="http://schemas.microsoft.com/office/word/2010/wordprocessingShape">
              <wps:wsp>
                <wps:cNvSpPr/>
                <wps:spPr>
                  <a:xfrm>
                    <a:off x="0" y="0"/>
                    <a:ext cx="192000" cy="216000"/>
                  </a:xfrm>
                  <a:custGeom>
                    <a:avLst/>
                    <a:gdLst/>
                    <a:ahLst/>
                    <a:cxnLst/>
                    <a:rect l="0" t="0" r="r" b="b"/>
                    <a:pathLst>
                      <a:path w="64000" h="72000">
                        <a:moveTo>
                          <a:pt x="4000" y="0"/>
                        </a:moveTo>
                        <a:arcTo wR="36000" hR="36000" stAng="16200000" swAng="10800000"/>
                        <a:close/>
                      </a:path>
                    </a:pathLst>
                  </a:custGeom>
                  <a:solidFill>
                    <a:srgbClr val="E3A6A8"/>
                  </a:solidFill>
                  <a:ln>
                    <a:noFill/>
                  </a:ln>
                </wps:spPr>
                <wps:bodyPr/>
              </wps:wsp>
            </a:graphicData>
          </a:graphic>
        </wp:inline>
      </w:drawing>
    </w:r>
    <w:r>
      <w:rPr>
        <w:rFonts w:ascii="Calibri" w:hAnsi="Calibri" w:cs="Calibri" w:eastAsia="Calibri"/>
        <w:b/>
        <w:color w:val="1F2430"/>
        <w:spacing w:val="-9"/>
        <w:position w:val="6"/>
        <w:sz w:val="29"/>
        <w:szCs w:val="29"/>
      </w:rPr>
      <w:t>B-Viz</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xmlns:a="http://schemas.openxmlformats.org/drawingml/2006/main">
      <w:drawing>
        <wp:inline distT="0" distB="0" distL="0" distR="0">
          <wp:extent cx="120000" cy="216000"/>
          <wp:effectExtent l="0" t="0" r="0" b="0"/>
          <wp:docPr id="9011" name="B-Viz symbol left"/>
          <wp:cNvGraphicFramePr/>
          <a:graphic>
            <a:graphicData uri="http://schemas.microsoft.com/office/word/2010/wordprocessingShape">
              <wps:wsp>
                <wps:cNvSpPr/>
                <wps:spPr>
                  <a:xfrm>
                    <a:off x="0" y="0"/>
                    <a:ext cx="120000" cy="216000"/>
                  </a:xfrm>
                  <a:custGeom>
                    <a:avLst/>
                    <a:gdLst/>
                    <a:ahLst/>
                    <a:cxnLst/>
                    <a:rect l="0" t="0" r="r" b="b"/>
                    <a:pathLst>
                      <a:path w="40000" h="72000">
                        <a:moveTo>
                          <a:pt x="36000" y="0"/>
                        </a:moveTo>
                        <a:arcTo wR="36000" hR="36000" stAng="16200000" swAng="-10800000"/>
                        <a:close/>
                      </a:path>
                    </a:pathLst>
                  </a:custGeom>
                  <a:solidFill>
                    <a:srgbClr val="1F2430"/>
                  </a:solidFill>
                  <a:ln>
                    <a:noFill/>
                  </a:ln>
                </wps:spPr>
                <wps:bodyPr/>
              </wps:wsp>
            </a:graphicData>
          </a:graphic>
        </wp:inline>
      </w:drawing>
    </w:r>
    <w:r xmlns:a="http://schemas.openxmlformats.org/drawingml/2006/main">
      <w:drawing>
        <wp:inline distT="0" distB="0" distL="0" distR="0">
          <wp:extent cx="192000" cy="216000"/>
          <wp:effectExtent l="0" t="0" r="0" b="0"/>
          <wp:docPr id="9012" name="B-Viz symbol right"/>
          <wp:cNvGraphicFramePr/>
          <a:graphic>
            <a:graphicData uri="http://schemas.microsoft.com/office/word/2010/wordprocessingShape">
              <wps:wsp>
                <wps:cNvSpPr/>
                <wps:spPr>
                  <a:xfrm>
                    <a:off x="0" y="0"/>
                    <a:ext cx="192000" cy="216000"/>
                  </a:xfrm>
                  <a:custGeom>
                    <a:avLst/>
                    <a:gdLst/>
                    <a:ahLst/>
                    <a:cxnLst/>
                    <a:rect l="0" t="0" r="r" b="b"/>
                    <a:pathLst>
                      <a:path w="64000" h="72000">
                        <a:moveTo>
                          <a:pt x="4000" y="0"/>
                        </a:moveTo>
                        <a:arcTo wR="36000" hR="36000" stAng="16200000" swAng="10800000"/>
                        <a:close/>
                      </a:path>
                    </a:pathLst>
                  </a:custGeom>
                  <a:solidFill>
                    <a:srgbClr val="E3A6A8"/>
                  </a:solidFill>
                  <a:ln>
                    <a:noFill/>
                  </a:ln>
                </wps:spPr>
                <wps:bodyPr/>
              </wps:wsp>
            </a:graphicData>
          </a:graphic>
        </wp:inline>
      </w:drawing>
    </w:r>
    <w:r>
      <w:rPr>
        <w:rFonts w:ascii="Calibri" w:hAnsi="Calibri" w:cs="Calibri" w:eastAsia="Calibri"/>
        <w:b/>
        <w:color w:val="1F2430"/>
        <w:spacing w:val="-9"/>
        <w:position w:val="6"/>
        <w:sz w:val="29"/>
        <w:szCs w:val="29"/>
      </w:rPr>
      <w:t>B-Viz</w:t>
    </w:r>
  </w:p>
  <w:p>
    <w:pPr>
      <w:pStyle w:val="Source"/>
      <w:spacing w:before="60"/>
    </w:pPr>
    <w:r>
      <w:rPr>
        <w:sz w:val="20"/>
      </w:rPr>
      <w:t>The visible brain of your business.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88" w:lineRule="auto"/>
    </w:pPr>
    <w:rPr>
      <w:rFonts w:ascii="Calibri" w:hAnsi="Calibri" w:cs="Calibri" w:eastAsia="Calibri"/>
      <w:b w:val="0"/>
      <w:color w:val="1F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cs="Calibri" w:eastAsia="Calibri"/>
      <w:b/>
      <w:bCs/>
      <w:color w:val="1F2430"/>
      <w:spacing w:val="-8"/>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color w:val="1F2430"/>
      <w:spacing w:val="-5"/>
      <w:sz w:val="26"/>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cs="Calibri" w:eastAsia="Calibri"/>
      <w:b/>
      <w:bCs/>
      <w:color w:val="1F2430"/>
      <w:spacing w:val="-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Calibri" w:hAnsi="Calibri" w:cs="Calibri" w:eastAsia="Calibri"/>
      <w:b/>
      <w:color w:val="1F2430"/>
      <w:spacing w:val="-17"/>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80"/>
    </w:pPr>
    <w:rPr>
      <w:rFonts w:ascii="Calibri" w:hAnsi="Calibri" w:cs="Calibri" w:eastAsia="Calibri"/>
      <w:b w:val="0"/>
      <w:color w:val="5A5F6B"/>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qFormat/>
    <w:rsid w:val="00326F90"/>
    <w:pPr>
      <w:numPr>
        <w:numId w:val="1"/>
      </w:numPr>
      <w:spacing w:before="0" w:after="60" w:line="288" w:lineRule="auto"/>
      <w:contextualSpacing/>
    </w:pPr>
    <w:rPr>
      <w:rFonts w:ascii="Calibri" w:hAnsi="Calibri" w:cs="Calibri" w:eastAsia="Calibri"/>
      <w:b w:val="0"/>
      <w:color w:val="1F243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qFormat/>
    <w:rsid w:val="00326F90"/>
    <w:pPr>
      <w:numPr>
        <w:numId w:val="5"/>
      </w:numPr>
      <w:spacing w:before="0" w:after="60" w:line="288" w:lineRule="auto"/>
      <w:contextualSpacing/>
    </w:pPr>
    <w:rPr>
      <w:rFonts w:ascii="Calibri" w:hAnsi="Calibri" w:cs="Calibri" w:eastAsia="Calibri"/>
      <w:b w:val="0"/>
      <w:color w:val="1F243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basedOn w:val="Normal"/>
    <w:qFormat/>
    <w:pPr>
      <w:spacing w:before="0" w:after="120" w:line="288" w:lineRule="auto"/>
    </w:pPr>
    <w:rPr>
      <w:rFonts w:ascii="Calibri" w:hAnsi="Calibri" w:cs="Calibri" w:eastAsia="Calibri"/>
      <w:b w:val="0"/>
      <w:color w:val="1F2430"/>
      <w:sz w:val="21"/>
    </w:rPr>
  </w:style>
  <w:style w:type="paragraph" w:customStyle="1" w:styleId="Figurecaption">
    <w:name w:val="Figure caption"/>
    <w:basedOn w:val="Normal"/>
    <w:qFormat/>
    <w:pPr>
      <w:spacing w:before="80" w:after="240"/>
    </w:pPr>
    <w:rPr>
      <w:rFonts w:ascii="Calibri" w:hAnsi="Calibri" w:cs="Calibri" w:eastAsia="Calibri"/>
      <w:b w:val="0"/>
      <w:color w:val="5A5F6B"/>
      <w:sz w:val="18"/>
    </w:rPr>
  </w:style>
  <w:style w:type="paragraph" w:customStyle="1" w:styleId="KPIfigure">
    <w:name w:val="KPI figure"/>
    <w:basedOn w:val="Normal"/>
    <w:qFormat/>
    <w:pPr>
      <w:spacing w:before="0" w:after="0" w:line="240" w:lineRule="auto"/>
    </w:pPr>
    <w:rPr>
      <w:rFonts w:ascii="Consolas" w:hAnsi="Consolas" w:cs="Consolas" w:eastAsia="Consolas"/>
      <w:b/>
      <w:color w:val="1F2430"/>
      <w:sz w:val="36"/>
    </w:rPr>
  </w:style>
  <w:style w:type="paragraph" w:customStyle="1" w:styleId="KPIlabel">
    <w:name w:val="KPI label"/>
    <w:basedOn w:val="Normal"/>
    <w:qFormat/>
    <w:pPr>
      <w:spacing w:before="40" w:after="0" w:line="240" w:lineRule="auto"/>
    </w:pPr>
    <w:rPr>
      <w:rFonts w:ascii="Calibri" w:hAnsi="Calibri" w:cs="Calibri" w:eastAsia="Calibri"/>
      <w:b/>
      <w:color w:val="1F2430"/>
      <w:sz w:val="19"/>
    </w:rPr>
  </w:style>
  <w:style w:type="paragraph" w:customStyle="1" w:styleId="KPInote">
    <w:name w:val="KPI note"/>
    <w:basedOn w:val="Normal"/>
    <w:qFormat/>
    <w:pPr>
      <w:spacing w:before="20" w:after="0" w:line="240" w:lineRule="auto"/>
    </w:pPr>
    <w:rPr>
      <w:rFonts w:ascii="Calibri" w:hAnsi="Calibri" w:cs="Calibri" w:eastAsia="Calibri"/>
      <w:b w:val="0"/>
      <w:color w:val="5A5F6B"/>
      <w:sz w:val="17"/>
    </w:rPr>
  </w:style>
  <w:style w:type="paragraph" w:customStyle="1" w:styleId="Source">
    <w:name w:val="Source"/>
    <w:basedOn w:val="Normal"/>
    <w:qFormat/>
    <w:pPr>
      <w:spacing w:before="0" w:after="0"/>
    </w:pPr>
    <w:rPr>
      <w:rFonts w:ascii="Calibri" w:hAnsi="Calibri" w:cs="Calibri" w:eastAsia="Calibri"/>
      <w:b w:val="0"/>
      <w:color w:val="5A5F6B"/>
      <w:sz w:val="17"/>
    </w:rPr>
  </w:style>
  <w:style w:type="character" w:customStyle="1" w:styleId="Figure">
    <w:name w:val="Figure"/>
    <w:qFormat/>
    <w:rPr>
      <w:rFonts w:ascii="Consolas" w:hAnsi="Consolas" w:cs="Consolas" w:eastAsia="Consolas"/>
      <w:b w:val="0"/>
      <w:color w:val="1F2430"/>
      <w:sz w:val="20"/>
    </w:rPr>
  </w:style>
  <w:style w:type="table" w:customStyle="1" w:styleId="BVizKPI">
    <w:name w:val="B-Viz KPI"/>
    <w:basedOn w:val="TableNormal"/>
    <w:uiPriority w:val="40"/>
    <w:qFormat/>
    <w:pPr>
      <w:spacing w:before="0" w:after="0"/>
    </w:pPr>
    <w:tblPr>
      <w:tblBorders>
        <w:top w:val="single" w:sz="18" w:space="0" w:color="E3A6A8"/>
        <w:insideV w:val="single" w:sz="48" w:space="0" w:color="FFFFFF"/>
      </w:tblBorders>
      <w:tblCellMar>
        <w:top w:w="120" w:type="dxa"/>
        <w:left w:w="140" w:type="dxa"/>
        <w:bottom w:w="120" w:type="dxa"/>
        <w:right w:w="140" w:type="dxa"/>
      </w:tblCellMar>
    </w:tblPr>
    <w:tcPr>
      <w:shd w:val="clear" w:color="auto" w:fill="F7F5F3"/>
    </w:tcPr>
  </w:style>
  <w:style w:type="table" w:customStyle="1" w:styleId="BVizPlain">
    <w:name w:val="B-Viz plain"/>
    <w:basedOn w:val="TableNormal"/>
    <w:uiPriority w:val="41"/>
    <w:qFormat/>
    <w:pPr>
      <w:spacing w:before="0" w:after="0"/>
    </w:pPr>
    <w:rPr>
      <w:sz w:val="19"/>
    </w:rPr>
    <w:tblPr>
      <w:tblBorders>
        <w:top w:val="single" w:sz="4" w:space="0" w:color="E4DEDB"/>
        <w:bottom w:val="single" w:sz="4" w:space="0" w:color="E4DEDB"/>
        <w:insideH w:val="single" w:sz="4" w:space="0" w:color="E4DEDB"/>
      </w:tblBorders>
      <w:tblCellMar>
        <w:top w:w="30" w:type="dxa"/>
        <w:left w:w="140" w:type="dxa"/>
        <w:bottom w:w="30" w:type="dxa"/>
        <w:right w:w="140" w:type="dxa"/>
      </w:tblCellMar>
    </w:tblPr>
    <w:tcPr>
      <w:shd w:val="clear" w:color="auto" w:fill="FFFFFF"/>
    </w:tcPr>
    <w:tblStylePr w:type="firstRow">
      <w:rPr>
        <w:b/>
        <w:color w:val="1F2430"/>
      </w:rPr>
      <w:tcPr>
        <w:tcBorders>
          <w:bottom w:val="single" w:sz="12" w:space="0" w:color="1F2430"/>
        </w:tcBorders>
        <w:shd w:val="clear" w:color="auto" w:fill="F7F5F3"/>
      </w:tcPr>
    </w:tblStylePr>
    <w:tblStylePr w:type="lastRow">
      <w:rPr>
        <w:b/>
      </w:rPr>
      <w:tcPr>
        <w:tcBorders>
          <w:top w:val="single" w:sz="12" w:space="0" w:color="1F2430"/>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s>
</file>

<file path=word/theme/theme1.xml><?xml version="1.0" encoding="utf-8"?>
<a:theme xmlns:a="http://schemas.openxmlformats.org/drawingml/2006/main" name="B-Viz">
  <a:themeElements>
    <a:clrScheme name="B-Viz light">
      <a:dk1>
        <a:srgbClr val="1F2430"/>
      </a:dk1>
      <a:lt1>
        <a:srgbClr val="F7F5F3"/>
      </a:lt1>
      <a:dk2>
        <a:srgbClr val="3A4150"/>
      </a:dk2>
      <a:lt2>
        <a:srgbClr val="FFFFFF"/>
      </a:lt2>
      <a:accent1>
        <a:srgbClr val="1F2430"/>
      </a:accent1>
      <a:accent2>
        <a:srgbClr val="D27073"/>
      </a:accent2>
      <a:accent3>
        <a:srgbClr val="5B6B9E"/>
      </a:accent3>
      <a:accent4>
        <a:srgbClr val="9E4A50"/>
      </a:accent4>
      <a:accent5>
        <a:srgbClr val="6E9584"/>
      </a:accent5>
      <a:accent6>
        <a:srgbClr val="B18741"/>
      </a:accent6>
      <a:hlink>
        <a:srgbClr val="9E4A50"/>
      </a:hlink>
      <a:folHlink>
        <a:srgbClr val="5A5F6B"/>
      </a:folHlink>
    </a:clrScheme>
    <a:fontScheme name="B-Viz">
      <a:majorFont>
        <a:latin typeface="Calibri" pitchFamily="34" charset="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34" charset="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Viz flat">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paper">
      <a:srgbClr val="F7F5F3"/>
    </a:custClr>
    <a:custClr name="surface">
      <a:srgbClr val="FFFFFF"/>
    </a:custClr>
    <a:custClr name="ink">
      <a:srgbClr val="1F2430"/>
    </a:custClr>
    <a:custClr name="text-muted">
      <a:srgbClr val="5A5F6B"/>
    </a:custClr>
    <a:custClr name="border">
      <a:srgbClr val="E4DEDB"/>
    </a:custClr>
    <a:custClr name="slate">
      <a:srgbClr val="3A4150"/>
    </a:custClr>
    <a:custClr name="brain-pink">
      <a:srgbClr val="E3A6A8"/>
    </a:custClr>
    <a:custClr name="pink-text">
      <a:srgbClr val="9E4A50"/>
    </a:custClr>
    <a:custClr name="brand-ink">
      <a:srgbClr val="1F2430"/>
    </a:custClr>
    <a:custClr name="brand-paper">
      <a:srgbClr val="F7F5F3"/>
    </a:custClr>
    <a:custClr name="good">
      <a:srgbClr val="008226"/>
    </a:custClr>
    <a:custClr name="watch">
      <a:srgbClr val="8A5A00"/>
    </a:custClr>
    <a:custClr name="bad">
      <a:srgbClr val="B8430B"/>
    </a:custClr>
    <a:custClr name="chart-1">
      <a:srgbClr val="1F2430"/>
    </a:custClr>
    <a:custClr name="chart-2">
      <a:srgbClr val="D27073"/>
    </a:custClr>
    <a:custClr name="chart-3">
      <a:srgbClr val="5B6B9E"/>
    </a:custClr>
    <a:custClr name="chart-4">
      <a:srgbClr val="9E4A50"/>
    </a:custClr>
    <a:custClr name="chart-5">
      <a:srgbClr val="6E9584"/>
    </a:custClr>
    <a:custClr name="chart-6">
      <a:srgbClr val="B18741"/>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working, and a proposal for Sandusky Bay Mutual Insurance</dc:title>
  <dc:subject>B-Viz brand kit</dc:subject>
  <dc:creator>B-Viz</dc:creator>
  <cp:keywords/>
  <dc:description>generated by python-docx</dc:description>
  <cp:lastModifiedBy>B-Viz</cp:lastModifiedBy>
  <cp:revision>1</cp:revision>
  <dcterms:created xsi:type="dcterms:W3CDTF">2026-10-09T09:00:00Z</dcterms:created>
  <dcterms:modified xsi:type="dcterms:W3CDTF">2026-10-23T17:05:19Z</dcterms:modified>
  <cp:category/>
</cp:coreProperties>
</file>