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Platform usage: who is under-using what they pay for</w:t>
      </w:r>
    </w:p>
    <w:p>
      <w:pPr>
        <w:pStyle w:val="Subtitle"/>
      </w:pPr>
      <w:r>
        <w:t>Active users in September 2026 against the seats in each order form</w:t>
      </w:r>
    </w:p>
    <w:p>
      <w:pPr>
        <w:pStyle w:val="Heading2"/>
      </w:pPr>
      <w:r>
        <w:t>Across the customer base</w:t>
      </w:r>
    </w:p>
    <w:tbl>
      <w:tblPr>
        <w:tblStyle w:val="BViz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91</w:t>
            </w:r>
          </w:p>
          <w:p>
            <w:pPr>
              <w:pStyle w:val="KPIlabel"/>
            </w:pPr>
            <w:r>
              <w:t>Customers measured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7%</w:t>
            </w:r>
          </w:p>
          <w:p>
            <w:pPr>
              <w:pStyle w:val="KPIlabel"/>
            </w:pPr>
            <w:r>
              <w:t>Lowest seat use</w:t>
            </w:r>
          </w:p>
          <w:p>
            <w:pPr>
              <w:pStyle w:val="KPInote"/>
            </w:pPr>
            <w:r>
              <w:t>Brightcombe Veterinary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115%</w:t>
            </w:r>
          </w:p>
          <w:p>
            <w:pPr>
              <w:pStyle w:val="KPIlabel"/>
            </w:pPr>
            <w:r>
              <w:t>Highest seat use</w:t>
            </w:r>
          </w:p>
          <w:p>
            <w:pPr>
              <w:pStyle w:val="KPInote"/>
            </w:pPr>
            <w:r>
              <w:t>Quarrington Care Network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132</w:t>
            </w:r>
          </w:p>
          <w:p>
            <w:pPr>
              <w:pStyle w:val="KPIlabel"/>
            </w:pPr>
            <w:r>
              <w:t>Most seats free</w:t>
            </w:r>
          </w:p>
          <w:p>
            <w:pPr>
              <w:pStyle w:val="KPInote"/>
            </w:pPr>
            <w:r>
              <w:t>Ardcarne Life Assurance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B-Viz facts, as at Fri 9 Oct 2026; facts usage_headroom</w:t>
      </w:r>
    </w:p>
    <w:p>
      <w:pPr>
        <w:pStyle w:val="Heading2"/>
      </w:pPr>
      <w:r>
        <w:t>The fifteen lowest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23758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9fcd04bf114-4353ff1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2375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Active users in September against the seats in each order form</w:t>
      </w:r>
    </w:p>
    <w:p>
      <w:pPr>
        <w:pStyle w:val="Source"/>
        <w:spacing w:after="200"/>
      </w:pPr>
      <w:r>
        <w:t>Source: B-Viz facts, as at Fri 9 Oct 2026; facts usage_headroom</w:t>
      </w:r>
    </w:p>
    <w:p>
      <w:pPr>
        <w:pStyle w:val="Heading2"/>
      </w:pPr>
      <w:r>
        <w:t>Headroom: the twelve lowest, with the renewal if it falls within 180 days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1495"/>
        <w:gridCol w:w="1495"/>
        <w:gridCol w:w="1495"/>
        <w:gridCol w:w="1495"/>
        <w:gridCol w:w="1495"/>
        <w:gridCol w:w="1495"/>
        <w:gridCol w:w="1495"/>
      </w:tblGrid>
      <w:tr>
        <w:trPr>
          <w:tblHeader/>
        </w:trPr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Tier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Active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Seats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 use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Connectors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Renews</w:t>
            </w:r>
          </w:p>
        </w:tc>
      </w:tr>
      <w:tr>
        <w:tc>
          <w:tcPr>
            <w:tcW w:type="dxa" w:w="1495"/>
          </w:tcPr>
          <w:p>
            <w:r>
              <w:t>Brightcombe Veterinary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7%</w:t>
            </w:r>
          </w:p>
        </w:tc>
        <w:tc>
          <w:tcPr>
            <w:tcW w:type="dxa" w:w="1495"/>
          </w:tcPr>
          <w:p>
            <w:r>
              <w:t>0 of 4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Ardcarne Life Assurance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18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12%</w:t>
            </w:r>
          </w:p>
        </w:tc>
        <w:tc>
          <w:tcPr>
            <w:tcW w:type="dxa" w:w="1495"/>
          </w:tcPr>
          <w:p>
            <w:r>
              <w:t>0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Hollins Tarrant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3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20%</w:t>
            </w:r>
          </w:p>
        </w:tc>
        <w:tc>
          <w:tcPr>
            <w:tcW w:type="dxa" w:w="1495"/>
          </w:tcPr>
          <w:p>
            <w:r>
              <w:t>2 of 4</w:t>
            </w:r>
          </w:p>
        </w:tc>
        <w:tc>
          <w:tcPr>
            <w:tcW w:type="dxa" w:w="1495"/>
          </w:tcPr>
          <w:p>
            <w:r>
              <w:t>Mon 4 Jan 2027</w:t>
            </w:r>
          </w:p>
        </w:tc>
      </w:tr>
      <w:tr>
        <w:tc>
          <w:tcPr>
            <w:tcW w:type="dxa" w:w="1495"/>
          </w:tcPr>
          <w:p>
            <w:r>
              <w:t>Brackwell Freight Ltd</w:t>
            </w:r>
          </w:p>
        </w:tc>
        <w:tc>
          <w:tcPr>
            <w:tcW w:type="dxa" w:w="1495"/>
          </w:tcPr>
          <w:p>
            <w:r>
              <w:t>Growth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14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40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35%</w:t>
            </w:r>
          </w:p>
        </w:tc>
        <w:tc>
          <w:tcPr>
            <w:tcW w:type="dxa" w:w="1495"/>
          </w:tcPr>
          <w:p>
            <w:r>
              <w:t>7 of 8</w:t>
            </w:r>
          </w:p>
        </w:tc>
        <w:tc>
          <w:tcPr>
            <w:tcW w:type="dxa" w:w="1495"/>
          </w:tcPr>
          <w:p>
            <w:r>
              <w:t>Tue 1 Dec 2026</w:t>
            </w:r>
          </w:p>
        </w:tc>
      </w:tr>
      <w:tr>
        <w:tc>
          <w:tcPr>
            <w:tcW w:type="dxa" w:w="1495"/>
          </w:tcPr>
          <w:p>
            <w:r>
              <w:t>Fenmoor Specialty Underwriting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64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43%</w:t>
            </w:r>
          </w:p>
        </w:tc>
        <w:tc>
          <w:tcPr>
            <w:tcW w:type="dxa" w:w="1495"/>
          </w:tcPr>
          <w:p>
            <w:r>
              <w:t>9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Carnmoor Fleet Leasing</w:t>
            </w:r>
          </w:p>
        </w:tc>
        <w:tc>
          <w:tcPr>
            <w:tcW w:type="dxa" w:w="1495"/>
          </w:tcPr>
          <w:p>
            <w:r>
              <w:t>Growth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22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40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55%</w:t>
            </w:r>
          </w:p>
        </w:tc>
        <w:tc>
          <w:tcPr>
            <w:tcW w:type="dxa" w:w="1495"/>
          </w:tcPr>
          <w:p>
            <w:r>
              <w:t>5 of 8</w:t>
            </w:r>
          </w:p>
        </w:tc>
        <w:tc>
          <w:tcPr>
            <w:tcW w:type="dxa" w:w="1495"/>
          </w:tcPr>
          <w:p>
            <w:r>
              <w:t>Wed 2 Dec 2026</w:t>
            </w:r>
          </w:p>
        </w:tc>
      </w:tr>
      <w:tr>
        <w:tc>
          <w:tcPr>
            <w:tcW w:type="dxa" w:w="1495"/>
          </w:tcPr>
          <w:p>
            <w:r>
              <w:t>Silverbeck Energy Services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Tue 1 Dec 2026</w:t>
            </w:r>
          </w:p>
        </w:tc>
      </w:tr>
      <w:tr>
        <w:tc>
          <w:tcPr>
            <w:tcW w:type="dxa" w:w="1495"/>
          </w:tcPr>
          <w:p>
            <w:r>
              <w:t>Wrenfield Property Management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Mon 1 Mar 2027</w:t>
            </w:r>
          </w:p>
        </w:tc>
      </w:tr>
      <w:tr>
        <w:tc>
          <w:tcPr>
            <w:tcW w:type="dxa" w:w="1495"/>
          </w:tcPr>
          <w:p>
            <w:r>
              <w:t>Tallowfield Health Partners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Penwortham Mutual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13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Marsden Vale Recruitment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Tarnbeck Insurance Brokers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Sat 30 Jan 2027</w:t>
            </w:r>
          </w:p>
        </w:tc>
      </w:tr>
    </w:tbl>
    <w:p>
      <w:pPr>
        <w:pStyle w:val="Source"/>
        <w:spacing w:after="200"/>
      </w:pPr>
      <w:r>
        <w:t>Source: B-Viz facts, as at Fri 9 Oct 2026; facts usage_headroom, renewals_due (180 days)</w:t>
      </w:r>
    </w:p>
    <w:p>
      <w:pPr>
        <w:pStyle w:val="Heading1"/>
      </w:pPr>
      <w:r>
        <w:t>Next steps already on record</w:t>
      </w:r>
    </w:p>
    <w:p>
      <w:pPr>
        <w:pStyle w:val="ListNumber"/>
      </w:pPr>
      <w:r>
        <w:t>Brightcombe Veterinary: Hamza Akhtar explains the lower farm invoice total and the wrong-farm ticket cause to Bryony Vosper before the 21 Oct 2026 onboarding call.</w:t>
      </w:r>
    </w:p>
    <w:p>
      <w:pPr>
        <w:pStyle w:val="ListNumber"/>
      </w:pPr>
      <w:r>
        <w:t>Ardcarne Life Assurance: Ollie Pearson to agree with Niamh Costello a dated go-live for the first Enterprise connector group, based on the policy administration extract, by the 13 Oct 2026 onboarding call.</w:t>
      </w:r>
    </w:p>
    <w:p>
      <w:pPr>
        <w:pStyle w:val="ListNumber"/>
      </w:pPr>
      <w:r>
        <w:t>Hollins Tarrant: Marcus Bell gets the pending CRM connector ticket resolved, repoints connectors at Salesforce and builds a value case for Rob Ellery ahead of the 19 Oct 2026 renewal call.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VizKPI">
    <w:name w:val="B-Viz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VizPlain">
    <w:name w:val="B-Viz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-Viz">
  <a:themeElements>
    <a:clrScheme name="B-Viz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Viz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Viz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Platform usage: who is under-using what they pay for</dc:title>
  <dc:subject>B-Viz brand kit</dc:subject>
  <dc:creator>B-Viz</dc:creator>
  <cp:keywords/>
  <dc:description>generated by python-docx</dc:description>
  <cp:lastModifiedBy>B-Viz</cp:lastModifiedBy>
  <cp:revision>1</cp:revision>
  <dcterms:created xsi:type="dcterms:W3CDTF">2026-10-09T09:00:00Z</dcterms:created>
  <dcterms:modified xsi:type="dcterms:W3CDTF">2026-10-23T16:59:26Z</dcterms:modified>
  <cp:category/>
</cp:coreProperties>
</file>