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briefing: Fenmoor Specialty Underwriting</w:t>
      </w:r>
    </w:p>
    <w:p>
      <w:pPr>
        <w:pStyle w:val="Subtitle"/>
      </w:pPr>
      <w:r>
        <w:t>For the negotiation call on Wed 14 Oct 2026. Figures as at Fri 9 Oct 2026</w:t>
      </w:r>
    </w:p>
    <w:p>
      <w:pPr>
        <w:pStyle w:val="Heading2"/>
      </w:pPr>
      <w:r>
        <w:t>Status and money: Growing</w:t>
      </w:r>
    </w:p>
    <w:p>
      <w:pPr>
        <w:pStyle w:val="Body"/>
      </w:pPr>
      <w:r>
        <w:t>Growing is B-Viz's AI assessment of Fri 9 Oct 2026. The CRM still shows £118,750 against £125,000 contracted. 4 of 4 invoices are paid and 0 are outstanding.</w:t>
      </w:r>
    </w:p>
    <w:tbl>
      <w:tblPr>
        <w:tblStyle w:val="BViz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£125,000</w:t>
            </w:r>
          </w:p>
          <w:p>
            <w:pPr>
              <w:pStyle w:val="KPIlabel"/>
            </w:pPr>
            <w:r>
              <w:t>Contracted ARR</w:t>
            </w:r>
          </w:p>
          <w:p>
            <w:pPr>
              <w:pStyle w:val="KPInote"/>
            </w:pPr>
            <w:r>
              <w:t>Enterprise order form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1 Jul 2027</w:t>
            </w:r>
          </w:p>
          <w:p>
            <w:pPr>
              <w:pStyle w:val="KPIlabel"/>
            </w:pPr>
            <w:r>
              <w:t>Renewal</w:t>
            </w:r>
          </w:p>
          <w:p>
            <w:pPr>
              <w:pStyle w:val="KPInote"/>
            </w:pPr>
            <w:r>
              <w:t>£125,000 at list price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64 of 150</w:t>
            </w:r>
          </w:p>
          <w:p>
            <w:pPr>
              <w:pStyle w:val="KPIlabel"/>
            </w:pPr>
            <w:r>
              <w:t>Seats in use</w:t>
            </w:r>
          </w:p>
          <w:p>
            <w:pPr>
              <w:pStyle w:val="KPInote"/>
            </w:pPr>
            <w:r>
              <w:t>43%, Sep 2026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9 of 20</w:t>
            </w:r>
          </w:p>
          <w:p>
            <w:pPr>
              <w:pStyle w:val="KPIlabel"/>
            </w:pPr>
            <w:r>
              <w:t>Connectors</w:t>
            </w:r>
          </w:p>
          <w:p>
            <w:pPr>
              <w:pStyle w:val="KPInote"/>
            </w:pPr>
            <w:r>
              <w:t>configured of included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B-Viz facts, as at Fri 9 Oct 2026; facts arr, renewals_due, usage_headroom; query chat.invoices</w:t>
      </w:r>
    </w:p>
    <w:p>
      <w:pPr>
        <w:pStyle w:val="Heading1"/>
      </w:pPr>
      <w:r>
        <w:t>Usage</w:t>
      </w:r>
    </w:p>
    <w:p>
      <w:pPr>
        <w:pStyle w:val="Body"/>
      </w:pPr>
      <w:r>
        <w:t>Active users went from 45 to 64 (42%) and questions from 1268 to 2180 (72%) between May and Sep 2026, with nine connectors configured against 20. Callum Reid asks 22% of recent questions and Rhys Collier 14%, so value is concentrated.</w:t>
      </w:r>
    </w:p>
    <w:p>
      <w:pPr>
        <w:pStyle w:val="Source"/>
        <w:spacing w:after="200"/>
      </w:pPr>
      <w:r>
        <w:t>Source: B-Viz facts, as at Fri 9 Oct 2026; get_document assessment:org_001</w:t>
      </w:r>
    </w:p>
    <w:p>
      <w:pPr>
        <w:pStyle w:val="Heading2"/>
      </w:pPr>
      <w:r>
        <w:t>Support: 1 ticket open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Raised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Subject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Priority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Status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Solved</w:t>
            </w:r>
          </w:p>
        </w:tc>
      </w:tr>
      <w:tr>
        <w:tc>
          <w:tcPr>
            <w:tcW w:type="dxa" w:w="2093"/>
          </w:tcPr>
          <w:p>
            <w:r>
              <w:t>7 Oct 2026</w:t>
            </w:r>
          </w:p>
        </w:tc>
        <w:tc>
          <w:tcPr>
            <w:tcW w:type="dxa" w:w="2093"/>
          </w:tcPr>
          <w:p>
            <w:r>
              <w:t>Dashboard performance after refresh</w:t>
            </w:r>
          </w:p>
        </w:tc>
        <w:tc>
          <w:tcPr>
            <w:tcW w:type="dxa" w:w="2093"/>
          </w:tcPr>
          <w:p>
            <w:r>
              <w:t>Normal</w:t>
            </w:r>
          </w:p>
        </w:tc>
        <w:tc>
          <w:tcPr>
            <w:tcW w:type="dxa" w:w="2093"/>
          </w:tcPr>
          <w:p>
            <w:r>
              <w:t>Open</w:t>
            </w:r>
          </w:p>
        </w:tc>
        <w:tc>
          <w:tcPr>
            <w:tcW w:type="dxa" w:w="2093"/>
          </w:tcPr>
          <w:p>
            <w:r>
              <w:t>open</w:t>
            </w:r>
          </w:p>
        </w:tc>
      </w:tr>
      <w:tr>
        <w:tc>
          <w:tcPr>
            <w:tcW w:type="dxa" w:w="2093"/>
          </w:tcPr>
          <w:p>
            <w:r>
              <w:t>24 Sep 2026</w:t>
            </w:r>
          </w:p>
        </w:tc>
        <w:tc>
          <w:tcPr>
            <w:tcW w:type="dxa" w:w="2093"/>
          </w:tcPr>
          <w:p>
            <w:r>
              <w:t>How to export claims data for syndicates</w:t>
            </w:r>
          </w:p>
        </w:tc>
        <w:tc>
          <w:tcPr>
            <w:tcW w:type="dxa" w:w="2093"/>
          </w:tcPr>
          <w:p>
            <w:r>
              <w:t>Normal</w:t>
            </w:r>
          </w:p>
        </w:tc>
        <w:tc>
          <w:tcPr>
            <w:tcW w:type="dxa" w:w="2093"/>
          </w:tcPr>
          <w:p>
            <w:r>
              <w:t>Solved</w:t>
            </w:r>
          </w:p>
        </w:tc>
        <w:tc>
          <w:tcPr>
            <w:tcW w:type="dxa" w:w="2093"/>
          </w:tcPr>
          <w:p>
            <w:r>
              <w:t>7 Oct 2026</w:t>
            </w:r>
          </w:p>
        </w:tc>
      </w:tr>
      <w:tr>
        <w:tc>
          <w:tcPr>
            <w:tcW w:type="dxa" w:w="2093"/>
          </w:tcPr>
          <w:p>
            <w:r>
              <w:t>24 Sep 2026</w:t>
            </w:r>
          </w:p>
        </w:tc>
        <w:tc>
          <w:tcPr>
            <w:tcW w:type="dxa" w:w="2093"/>
          </w:tcPr>
          <w:p>
            <w:r>
              <w:t>How to filter bordereaux by underwriting year</w:t>
            </w:r>
          </w:p>
        </w:tc>
        <w:tc>
          <w:tcPr>
            <w:tcW w:type="dxa" w:w="2093"/>
          </w:tcPr>
          <w:p>
            <w:r>
              <w:t>Low</w:t>
            </w:r>
          </w:p>
        </w:tc>
        <w:tc>
          <w:tcPr>
            <w:tcW w:type="dxa" w:w="2093"/>
          </w:tcPr>
          <w:p>
            <w:r>
              <w:t>Closed</w:t>
            </w:r>
          </w:p>
        </w:tc>
        <w:tc>
          <w:tcPr>
            <w:tcW w:type="dxa" w:w="2093"/>
          </w:tcPr>
          <w:p>
            <w:r>
              <w:t>29 Sep 2026</w:t>
            </w:r>
          </w:p>
        </w:tc>
      </w:tr>
      <w:tr>
        <w:tc>
          <w:tcPr>
            <w:tcW w:type="dxa" w:w="2093"/>
          </w:tcPr>
          <w:p>
            <w:r>
              <w:t>24 Aug 2026</w:t>
            </w:r>
          </w:p>
        </w:tc>
        <w:tc>
          <w:tcPr>
            <w:tcW w:type="dxa" w:w="2093"/>
          </w:tcPr>
          <w:p>
            <w:r>
              <w:t>Dashboards – feature request</w:t>
            </w:r>
          </w:p>
        </w:tc>
        <w:tc>
          <w:tcPr>
            <w:tcW w:type="dxa" w:w="2093"/>
          </w:tcPr>
          <w:p>
            <w:r>
              <w:t>Low</w:t>
            </w:r>
          </w:p>
        </w:tc>
        <w:tc>
          <w:tcPr>
            <w:tcW w:type="dxa" w:w="2093"/>
          </w:tcPr>
          <w:p>
            <w:r>
              <w:t>Closed</w:t>
            </w:r>
          </w:p>
        </w:tc>
        <w:tc>
          <w:tcPr>
            <w:tcW w:type="dxa" w:w="2093"/>
          </w:tcPr>
          <w:p>
            <w:r>
              <w:t>25 Aug 2026</w:t>
            </w:r>
          </w:p>
        </w:tc>
      </w:tr>
    </w:tbl>
    <w:p>
      <w:pPr>
        <w:pStyle w:val="Source"/>
        <w:spacing w:after="200"/>
      </w:pPr>
      <w:r>
        <w:t>Source: B-Viz facts, as at Fri 9 Oct 2026; query chat.tickets</w:t>
      </w:r>
    </w:p>
    <w:p>
      <w:pPr>
        <w:pStyle w:val="Heading2"/>
      </w:pPr>
      <w:r>
        <w:t>The last calls and what they settled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616"/>
        <w:gridCol w:w="2616"/>
        <w:gridCol w:w="2616"/>
        <w:gridCol w:w="2616"/>
      </w:tblGrid>
      <w:tr>
        <w:trPr>
          <w:tblHeader/>
        </w:trPr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Date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Type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Held by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What it settled</w:t>
            </w:r>
          </w:p>
        </w:tc>
      </w:tr>
      <w:tr>
        <w:tc>
          <w:tcPr>
            <w:tcW w:type="dxa" w:w="2616"/>
          </w:tcPr>
          <w:p>
            <w:r>
              <w:t>24 Sep 2026</w:t>
            </w:r>
          </w:p>
        </w:tc>
        <w:tc>
          <w:tcPr>
            <w:tcW w:type="dxa" w:w="2616"/>
          </w:tcPr>
          <w:p>
            <w:r>
              <w:t>Proposal</w:t>
            </w:r>
          </w:p>
        </w:tc>
        <w:tc>
          <w:tcPr>
            <w:tcW w:type="dxa" w:w="2616"/>
          </w:tcPr>
          <w:p>
            <w:r>
              <w:t>Tom Ashdown</w:t>
            </w:r>
          </w:p>
        </w:tc>
        <w:tc>
          <w:tcPr>
            <w:tcW w:type="dxa" w:w="2616"/>
          </w:tcPr>
          <w:p>
            <w:r>
              <w:t>Imogen Hartley, Chief Data Officer, wants the Enterprise expansion to bring claims and compliance into B-Viz, not more seats.</w:t>
            </w:r>
          </w:p>
        </w:tc>
      </w:tr>
      <w:tr>
        <w:tc>
          <w:tcPr>
            <w:tcW w:type="dxa" w:w="2616"/>
          </w:tcPr>
          <w:p>
            <w:r>
              <w:t>15 Sep 2026</w:t>
            </w:r>
          </w:p>
        </w:tc>
        <w:tc>
          <w:tcPr>
            <w:tcW w:type="dxa" w:w="2616"/>
          </w:tcPr>
          <w:p>
            <w:r>
              <w:t>QBR</w:t>
            </w:r>
          </w:p>
        </w:tc>
        <w:tc>
          <w:tcPr>
            <w:tcW w:type="dxa" w:w="2616"/>
          </w:tcPr>
          <w:p>
            <w:r>
              <w:t>Daniel Okafor</w:t>
            </w:r>
          </w:p>
        </w:tc>
        <w:tc>
          <w:tcPr>
            <w:tcW w:type="dxa" w:w="2616"/>
          </w:tcPr>
          <w:p>
            <w:r>
              <w:t>At the 15 Sep 2026 QBR, Chief Data Officer Imogen Hartley said both new lines of business will need B-Viz and that she will sponsor it.</w:t>
            </w:r>
          </w:p>
        </w:tc>
      </w:tr>
      <w:tr>
        <w:tc>
          <w:tcPr>
            <w:tcW w:type="dxa" w:w="2616"/>
          </w:tcPr>
          <w:p>
            <w:r>
              <w:t>26 Aug 2026</w:t>
            </w:r>
          </w:p>
        </w:tc>
        <w:tc>
          <w:tcPr>
            <w:tcW w:type="dxa" w:w="2616"/>
          </w:tcPr>
          <w:p>
            <w:r>
              <w:t>Check In</w:t>
            </w:r>
          </w:p>
        </w:tc>
        <w:tc>
          <w:tcPr>
            <w:tcW w:type="dxa" w:w="2616"/>
          </w:tcPr>
          <w:p>
            <w:r>
              <w:t>Daniel Okafor</w:t>
            </w:r>
          </w:p>
        </w:tc>
        <w:tc>
          <w:tcPr>
            <w:tcW w:type="dxa" w:w="2616"/>
          </w:tcPr>
          <w:p>
            <w:r>
              <w:t>Callum Reid says B-Viz just works and the 07:00 refresh has not slipped.</w:t>
            </w:r>
          </w:p>
        </w:tc>
      </w:tr>
    </w:tbl>
    <w:p>
      <w:pPr>
        <w:pStyle w:val="Source"/>
        <w:spacing w:after="200"/>
      </w:pPr>
      <w:r>
        <w:t>Source: B-Viz facts, as at Fri 9 Oct 2026; query chat.calls; get_document object_read:&lt;call&gt;</w:t>
      </w:r>
    </w:p>
    <w:p>
      <w:pPr>
        <w:pStyle w:val="Body"/>
        <w:ind w:left="454"/>
      </w:pPr>
      <w:r>
        <w:rPr>
          <w:i/>
          <w:sz w:val="26"/>
        </w:rPr>
        <w:t>“I'll sponsor it.”</w:t>
      </w:r>
    </w:p>
    <w:p>
      <w:pPr>
        <w:pStyle w:val="KPInote"/>
        <w:ind w:left="454"/>
      </w:pPr>
      <w:r>
        <w:t>Imogen Hartley, proposal call, Thu 24 Sep 2026</w:t>
      </w:r>
    </w:p>
    <w:p>
      <w:pPr>
        <w:pStyle w:val="Source"/>
        <w:spacing w:after="200"/>
      </w:pPr>
      <w:r>
        <w:t>Source: B-Viz facts, as at Fri 9 Oct 2026; get_document call_001_049 (transcript)</w:t>
      </w:r>
    </w:p>
    <w:p>
      <w:pPr>
        <w:pStyle w:val="Heading2"/>
      </w:pPr>
      <w:r>
        <w:t>The people who matter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3489"/>
        <w:gridCol w:w="3489"/>
        <w:gridCol w:w="3489"/>
      </w:tblGrid>
      <w:tr>
        <w:trPr>
          <w:tblHeader/>
        </w:trPr>
        <w:tc>
          <w:tcPr>
            <w:tcW w:type="dxa" w:w="3489"/>
          </w:tcPr>
          <w:p>
            <w:pPr>
              <w:keepNext/>
            </w:pPr>
            <w:r>
              <w:rPr>
                <w:b/>
                <w:color w:val="1F2430"/>
              </w:rPr>
              <w:t>Name</w:t>
            </w:r>
          </w:p>
        </w:tc>
        <w:tc>
          <w:tcPr>
            <w:tcW w:type="dxa" w:w="3489"/>
          </w:tcPr>
          <w:p>
            <w:pPr>
              <w:keepNext/>
            </w:pPr>
            <w:r>
              <w:rPr>
                <w:b/>
                <w:color w:val="1F2430"/>
              </w:rPr>
              <w:t>Title</w:t>
            </w:r>
          </w:p>
        </w:tc>
        <w:tc>
          <w:tcPr>
            <w:tcW w:type="dxa" w:w="3489"/>
          </w:tcPr>
          <w:p>
            <w:pPr>
              <w:keepNext/>
            </w:pPr>
            <w:r>
              <w:rPr>
                <w:b/>
                <w:color w:val="1F2430"/>
              </w:rPr>
              <w:t>Role in the account</w:t>
            </w:r>
          </w:p>
        </w:tc>
      </w:tr>
      <w:tr>
        <w:tc>
          <w:tcPr>
            <w:tcW w:type="dxa" w:w="3489"/>
          </w:tcPr>
          <w:p>
            <w:r>
              <w:t>Rhys Collier</w:t>
            </w:r>
          </w:p>
        </w:tc>
        <w:tc>
          <w:tcPr>
            <w:tcW w:type="dxa" w:w="3489"/>
          </w:tcPr>
          <w:p>
            <w:r>
              <w:t>Business Systems Analyst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Theo Thornton</w:t>
            </w:r>
          </w:p>
        </w:tc>
        <w:tc>
          <w:tcPr>
            <w:tcW w:type="dxa" w:w="3489"/>
          </w:tcPr>
          <w:p>
            <w:r>
              <w:t>Team Leader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Victoria Khan</w:t>
            </w:r>
          </w:p>
        </w:tc>
        <w:tc>
          <w:tcPr>
            <w:tcW w:type="dxa" w:w="3489"/>
          </w:tcPr>
          <w:p>
            <w:r>
              <w:t>Finance Analyst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Leah Collier</w:t>
            </w:r>
          </w:p>
        </w:tc>
        <w:tc>
          <w:tcPr>
            <w:tcW w:type="dxa" w:w="3489"/>
          </w:tcPr>
          <w:p>
            <w:r>
              <w:t>Customer Operations Lead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Faye Pemberton</w:t>
            </w:r>
          </w:p>
        </w:tc>
        <w:tc>
          <w:tcPr>
            <w:tcW w:type="dxa" w:w="3489"/>
          </w:tcPr>
          <w:p>
            <w:r>
              <w:t>Client Services Manager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Aisha Evans</w:t>
            </w:r>
          </w:p>
        </w:tc>
        <w:tc>
          <w:tcPr>
            <w:tcW w:type="dxa" w:w="3489"/>
          </w:tcPr>
          <w:p>
            <w:r>
              <w:t>Finance Analyst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Scott Gill</w:t>
            </w:r>
          </w:p>
        </w:tc>
        <w:tc>
          <w:tcPr>
            <w:tcW w:type="dxa" w:w="3489"/>
          </w:tcPr>
          <w:p>
            <w:r>
              <w:t>Customer Operations Lead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Alice Bhatt</w:t>
            </w:r>
          </w:p>
        </w:tc>
        <w:tc>
          <w:tcPr>
            <w:tcW w:type="dxa" w:w="3489"/>
          </w:tcPr>
          <w:p>
            <w:r>
              <w:t>Data Analyst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Maya Crossley</w:t>
            </w:r>
          </w:p>
        </w:tc>
        <w:tc>
          <w:tcPr>
            <w:tcW w:type="dxa" w:w="3489"/>
          </w:tcPr>
          <w:p>
            <w:r>
              <w:t>Client Services Manager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Elliot Atkinson</w:t>
            </w:r>
          </w:p>
        </w:tc>
        <w:tc>
          <w:tcPr>
            <w:tcW w:type="dxa" w:w="3489"/>
          </w:tcPr>
          <w:p>
            <w:r>
              <w:t>Performance Analyst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Amelia Nash</w:t>
            </w:r>
          </w:p>
        </w:tc>
        <w:tc>
          <w:tcPr>
            <w:tcW w:type="dxa" w:w="3489"/>
          </w:tcPr>
          <w:p>
            <w:r>
              <w:t>Operations Manager</w:t>
            </w:r>
          </w:p>
        </w:tc>
        <w:tc>
          <w:tcPr>
            <w:tcW w:type="dxa" w:w="3489"/>
          </w:tcPr>
          <w:p>
            <w:r>
              <w:t>User</w:t>
            </w:r>
          </w:p>
        </w:tc>
      </w:tr>
      <w:tr>
        <w:tc>
          <w:tcPr>
            <w:tcW w:type="dxa" w:w="3489"/>
          </w:tcPr>
          <w:p>
            <w:r>
              <w:t>Callum Reid</w:t>
            </w:r>
          </w:p>
        </w:tc>
        <w:tc>
          <w:tcPr>
            <w:tcW w:type="dxa" w:w="3489"/>
          </w:tcPr>
          <w:p>
            <w:r>
              <w:t>Head of Underwriting Operations</w:t>
            </w:r>
          </w:p>
        </w:tc>
        <w:tc>
          <w:tcPr>
            <w:tcW w:type="dxa" w:w="3489"/>
          </w:tcPr>
          <w:p>
            <w:r>
              <w:t>Champion</w:t>
            </w:r>
          </w:p>
        </w:tc>
      </w:tr>
      <w:tr>
        <w:tc>
          <w:tcPr>
            <w:tcW w:type="dxa" w:w="3489"/>
          </w:tcPr>
          <w:p>
            <w:r>
              <w:t>Richard Thorne</w:t>
            </w:r>
          </w:p>
        </w:tc>
        <w:tc>
          <w:tcPr>
            <w:tcW w:type="dxa" w:w="3489"/>
          </w:tcPr>
          <w:p>
            <w:r>
              <w:t>Chief Operating Officer</w:t>
            </w:r>
          </w:p>
        </w:tc>
        <w:tc>
          <w:tcPr>
            <w:tcW w:type="dxa" w:w="3489"/>
          </w:tcPr>
          <w:p>
            <w:r>
              <w:t>Holds the budget</w:t>
            </w:r>
          </w:p>
        </w:tc>
      </w:tr>
      <w:tr>
        <w:tc>
          <w:tcPr>
            <w:tcW w:type="dxa" w:w="3489"/>
          </w:tcPr>
          <w:p>
            <w:r>
              <w:t>Nadia Osei</w:t>
            </w:r>
          </w:p>
        </w:tc>
        <w:tc>
          <w:tcPr>
            <w:tcW w:type="dxa" w:w="3489"/>
          </w:tcPr>
          <w:p>
            <w:r>
              <w:t>IT Security Lead</w:t>
            </w:r>
          </w:p>
        </w:tc>
        <w:tc>
          <w:tcPr>
            <w:tcW w:type="dxa" w:w="3489"/>
          </w:tcPr>
          <w:p>
            <w:r>
              <w:t>IT security</w:t>
            </w:r>
          </w:p>
        </w:tc>
      </w:tr>
      <w:tr>
        <w:tc>
          <w:tcPr>
            <w:tcW w:type="dxa" w:w="3489"/>
          </w:tcPr>
          <w:p>
            <w:r>
              <w:t>Louise Carver</w:t>
            </w:r>
          </w:p>
        </w:tc>
        <w:tc>
          <w:tcPr>
            <w:tcW w:type="dxa" w:w="3489"/>
          </w:tcPr>
          <w:p>
            <w:r>
              <w:t>Procurement Manager</w:t>
            </w:r>
          </w:p>
        </w:tc>
        <w:tc>
          <w:tcPr>
            <w:tcW w:type="dxa" w:w="3489"/>
          </w:tcPr>
          <w:p>
            <w:r>
              <w:t>Procurement</w:t>
            </w:r>
          </w:p>
        </w:tc>
      </w:tr>
      <w:tr>
        <w:tc>
          <w:tcPr>
            <w:tcW w:type="dxa" w:w="3489"/>
          </w:tcPr>
          <w:p>
            <w:r>
              <w:t>Imogen Hartley</w:t>
            </w:r>
          </w:p>
        </w:tc>
        <w:tc>
          <w:tcPr>
            <w:tcW w:type="dxa" w:w="3489"/>
          </w:tcPr>
          <w:p>
            <w:r>
              <w:t>Chief Data Officer</w:t>
            </w:r>
          </w:p>
        </w:tc>
        <w:tc>
          <w:tcPr>
            <w:tcW w:type="dxa" w:w="3489"/>
          </w:tcPr>
          <w:p>
            <w:r>
              <w:t>Champion</w:t>
            </w:r>
          </w:p>
        </w:tc>
      </w:tr>
    </w:tbl>
    <w:p>
      <w:pPr>
        <w:pStyle w:val="Source"/>
        <w:spacing w:after="200"/>
      </w:pPr>
      <w:r>
        <w:t>Source: B-Viz facts, as at Fri 9 Oct 2026; query chat.people</w:t>
      </w:r>
    </w:p>
    <w:p>
      <w:pPr>
        <w:pStyle w:val="Heading1"/>
      </w:pPr>
      <w:r>
        <w:t>Joiners, leavers and the news</w:t>
      </w:r>
    </w:p>
    <w:p>
      <w:pPr>
        <w:pStyle w:val="ListBullet"/>
      </w:pPr>
      <w:r>
        <w:t>Joined: Imogen Hartley became Fenmoor's first Chief Data Officer on 2 Mar 2026, and now sponsors the expansion. A new senior owner of data is a renewal signal: she may want to review what the platform is worth.</w:t>
      </w:r>
    </w:p>
    <w:p>
      <w:pPr>
        <w:pStyle w:val="ListBullet"/>
      </w:pPr>
      <w:r>
        <w:t>Left (our side): Priya Raman, the CRM owner of the account and its open deal, left BG-Demo on Fri 28 Aug 2026.</w:t>
      </w:r>
    </w:p>
    <w:p>
      <w:pPr>
        <w:pStyle w:val="ListBullet"/>
      </w:pPr>
      <w:r>
        <w:t>News, 7 Sep 2026: Fenmoor plans two new specialty lines in 2027, to run on the shared data platform it already uses.</w:t>
      </w:r>
    </w:p>
    <w:p>
      <w:pPr>
        <w:pStyle w:val="Source"/>
        <w:spacing w:after="200"/>
      </w:pPr>
      <w:r>
        <w:t>Source: B-Viz facts, as at Fri 9 Oct 2026; get_document news_001_005, news_001_006; facts staff</w:t>
      </w:r>
    </w:p>
    <w:p>
      <w:pPr>
        <w:pStyle w:val="Heading1"/>
      </w:pPr>
      <w:r>
        <w:t>Next steps</w:t>
      </w:r>
    </w:p>
    <w:p>
      <w:pPr>
        <w:pStyle w:val="ListNumber"/>
      </w:pPr>
      <w:r>
        <w:t>Tom Ashdown sends Richard Thorne a value case and the corrected, priced, co-termed expansion proposal before the 14 Oct 2026 negotiation call.</w:t>
      </w:r>
    </w:p>
    <w:p>
      <w:pPr>
        <w:pStyle w:val="ListNumber"/>
      </w:pPr>
      <w:r>
        <w:t>For the call: Answer the 150-licence question with the usage trend</w:t>
      </w:r>
    </w:p>
    <w:p>
      <w:pPr>
        <w:pStyle w:val="ListNumber"/>
      </w:pPr>
      <w:r>
        <w:t>For the call: Present the priced, co-termed expansion scope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720" w:right="720" w:bottom="720" w:left="720" w:header="255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1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1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  <w:p>
    <w:pPr>
      <w:pStyle w:val="Source"/>
      <w:spacing w:before="60"/>
    </w:pPr>
    <w:r>
      <w:rPr>
        <w:sz w:val="20"/>
      </w:rPr>
      <w:t>The visible brain of your business.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VizKPI">
    <w:name w:val="B-Viz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VizPlain">
    <w:name w:val="B-Viz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-Viz">
  <a:themeElements>
    <a:clrScheme name="B-Viz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Viz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Viz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briefing: Fenmoor Specialty Underwriting</dc:title>
  <dc:subject>B-Viz brand kit</dc:subject>
  <dc:creator>B-Viz</dc:creator>
  <cp:keywords/>
  <dc:description>generated by python-docx</dc:description>
  <cp:lastModifiedBy>B-Viz</cp:lastModifiedBy>
  <cp:revision>1</cp:revision>
  <dcterms:created xsi:type="dcterms:W3CDTF">2026-10-09T09:00:00Z</dcterms:created>
  <dcterms:modified xsi:type="dcterms:W3CDTF">2026-10-23T17:03:42Z</dcterms:modified>
  <cp:category/>
</cp:coreProperties>
</file>