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Calls to make this week, and the first briefing</w:t>
      </w:r>
    </w:p>
    <w:p>
      <w:pPr>
        <w:pStyle w:val="Subtitle"/>
      </w:pPr>
      <w:r>
        <w:t>B-Viz's ranking as at Fri 9 Oct 2026</w:t>
      </w:r>
    </w:p>
    <w:p>
      <w:pPr>
        <w:pStyle w:val="Heading1"/>
      </w:pPr>
      <w:r>
        <w:t>Who to call, and why</w:t>
      </w:r>
    </w:p>
    <w:p>
      <w:pPr>
        <w:pStyle w:val="Body"/>
      </w:pPr>
      <w:r>
        <w:t>Of 151 calls to make as of 9 Oct 2026, the first eight are seven At risk saves and Brimscombe Energy's renewal, almost all due this week. 8 of the top eight are issues (an account At risk or on Watch); 0 is an opportunity. Each reason is the account's own next step, ranked on the kind of call, how soon, the renewal date, the account's size and its status.</w:t>
      </w:r>
    </w:p>
    <w:p>
      <w:pPr>
        <w:pStyle w:val="Source"/>
        <w:spacing w:after="200"/>
      </w:pPr>
      <w:r>
        <w:t>Source: B-Viz facts, as at Fri 9 Oct 2026; get_document portfolio:who_needs_a_call</w:t>
      </w:r>
    </w:p>
    <w:p>
      <w:pPr>
        <w:pStyle w:val="Heading1"/>
      </w:pPr>
      <w:r>
        <w:t>The eight calls to make first</w:t>
      </w:r>
    </w:p>
    <w:p>
      <w:pPr>
        <w:pStyle w:val="ListBullet"/>
      </w:pPr>
      <w:r>
        <w:t>Dunholm Precision (issue, At risk): Tom Ashdown sends Karen Midgley and Stuart Kenyon a £50,000 Growth renewal in place of the unsigned £58,000 proposal this week.</w:t>
      </w:r>
    </w:p>
    <w:p>
      <w:pPr>
        <w:pStyle w:val="ListBullet"/>
      </w:pPr>
      <w:r>
        <w:t>Veldmaat Payments (issue, At risk): Elena Novak sends the £5,000 credit note to Annelies de Vries and the £50,000 renewal basis to Joost Verbeek before the 23 Oct 2026 call.</w:t>
      </w:r>
    </w:p>
    <w:p>
      <w:pPr>
        <w:pStyle w:val="ListBullet"/>
      </w:pPr>
      <w:r>
        <w:t>Brackwell Freight Ltd (issue, At risk): Tom Ashdown sends Gareth Whitlam a line-by-line breakdown of the £50,000 Growth renewal before the 12 Oct 2026 call.</w:t>
      </w:r>
    </w:p>
    <w:p>
      <w:pPr>
        <w:pStyle w:val="ListBullet"/>
      </w:pPr>
      <w:r>
        <w:t>Hollins Tarrant (issue, At risk): Marcus Bell clears the CRM connector ticket and repoints connectors at Salesforce before the 19 Oct 2026 call with Rob Ellery.</w:t>
      </w:r>
    </w:p>
    <w:p>
      <w:pPr>
        <w:pStyle w:val="ListBullet"/>
      </w:pPr>
      <w:r>
        <w:t>Clonvara Insurance Services (issue, At risk): Lewis Kerr sends Brendan Moran an itemised, right-sized Growth renewal quote by 23 Oct 2026.</w:t>
      </w:r>
    </w:p>
    <w:p>
      <w:pPr>
        <w:pStyle w:val="ListBullet"/>
      </w:pPr>
      <w:r>
        <w:t>Carnmoor Fleet Leasing (issue, At risk): Amara Obi agrees with Kofi Asamoah the four connectors that stay under Starter for the 26 Oct 2026 QBR.</w:t>
      </w:r>
    </w:p>
    <w:p>
      <w:pPr>
        <w:pStyle w:val="ListBullet"/>
      </w:pPr>
      <w:r>
        <w:t>Moggill Creek Distributors (issue, At risk): Amara Obi sends Troy Henderson the written £22,000 renewal price and asks for a successor champion to Kylie Dwyer.</w:t>
      </w:r>
    </w:p>
    <w:p>
      <w:pPr>
        <w:pStyle w:val="ListBullet"/>
      </w:pPr>
      <w:r>
        <w:t>Brimscombe Energy (issue, Watch): Tom Ashdown sends Graham Tovey and Mandy Gasson one corrected renewal paper this week.</w:t>
      </w:r>
    </w:p>
    <w:p>
      <w:pPr>
        <w:pStyle w:val="Source"/>
        <w:spacing w:after="200"/>
      </w:pPr>
      <w:r>
        <w:t>Source: B-Viz facts, as at Fri 9 Oct 2026; get_document portfolio:who_needs_a_call, next_steps:&lt;org&gt;; query chat.statuses</w:t>
      </w:r>
    </w:p>
    <w:p>
      <w:pPr>
        <w:pStyle w:val="Heading2"/>
      </w:pPr>
      <w:r>
        <w:t>Call briefing: Dunholm Precision</w:t>
      </w:r>
    </w:p>
    <w:p>
      <w:pPr>
        <w:pStyle w:val="Body"/>
      </w:pPr>
      <w:r>
        <w:t>Dunholm Precision is the first call. The renewal is 53 days away (Tue 1 Dec 2026).</w:t>
      </w:r>
    </w:p>
    <w:tbl>
      <w:tblPr>
        <w:tblStyle w:val="BVizKPI"/>
        <w:tblW w:type="auto" w:w="0"/>
        <w:tblLook w:firstColumn="1" w:firstRow="1" w:lastColumn="0" w:lastRow="0" w:noHBand="0" w:noVBand="1" w:val="04A0"/>
      </w:tblPr>
      <w:tblGrid>
        <w:gridCol w:w="2616"/>
        <w:gridCol w:w="2616"/>
        <w:gridCol w:w="2616"/>
        <w:gridCol w:w="2616"/>
      </w:tblGrid>
      <w:tr>
        <w:tc>
          <w:tcPr>
            <w:tcW w:type="dxa" w:w="2616"/>
            <w:noWrap/>
          </w:tcPr>
          <w:p>
            <w:pPr>
              <w:pStyle w:val="KPIfigure"/>
            </w:pPr>
            <w:r>
              <w:rPr>
                <w:sz w:val="36"/>
              </w:rPr>
              <w:t>£51,000</w:t>
            </w:r>
          </w:p>
          <w:p>
            <w:pPr>
              <w:pStyle w:val="KPIlabel"/>
            </w:pPr>
            <w:r>
              <w:t>Contracted ARR</w:t>
            </w:r>
          </w:p>
          <w:p>
            <w:pPr>
              <w:pStyle w:val="KPInote"/>
            </w:pPr>
            <w:r>
              <w:t>Growth order form</w:t>
            </w:r>
          </w:p>
        </w:tc>
        <w:tc>
          <w:tcPr>
            <w:tcW w:type="dxa" w:w="2616"/>
            <w:noWrap/>
          </w:tcPr>
          <w:p>
            <w:pPr>
              <w:pStyle w:val="KPIfigure"/>
            </w:pPr>
            <w:r>
              <w:rPr>
                <w:sz w:val="36"/>
              </w:rPr>
              <w:t>£50,000</w:t>
            </w:r>
          </w:p>
          <w:p>
            <w:pPr>
              <w:pStyle w:val="KPIlabel"/>
            </w:pPr>
            <w:r>
              <w:t>Renewal at list</w:t>
            </w:r>
          </w:p>
          <w:p>
            <w:pPr>
              <w:pStyle w:val="KPInote"/>
            </w:pPr>
            <w:r>
              <w:t>-2.0% on today</w:t>
            </w:r>
          </w:p>
        </w:tc>
        <w:tc>
          <w:tcPr>
            <w:tcW w:type="dxa" w:w="2616"/>
            <w:noWrap/>
          </w:tcPr>
          <w:p>
            <w:pPr>
              <w:pStyle w:val="KPIfigure"/>
            </w:pPr>
            <w:r>
              <w:rPr>
                <w:sz w:val="36"/>
              </w:rPr>
              <w:t>£58,000</w:t>
            </w:r>
          </w:p>
          <w:p>
            <w:pPr>
              <w:pStyle w:val="KPIlabel"/>
            </w:pPr>
            <w:r>
              <w:t>CRM renewal deal</w:t>
            </w:r>
          </w:p>
          <w:p>
            <w:pPr>
              <w:pStyle w:val="KPInote"/>
            </w:pPr>
            <w:r>
              <w:t>close pencilled Mon 9 Nov 2026</w:t>
            </w:r>
          </w:p>
        </w:tc>
        <w:tc>
          <w:tcPr>
            <w:tcW w:type="dxa" w:w="2616"/>
            <w:noWrap/>
          </w:tcPr>
          <w:p>
            <w:pPr>
              <w:pStyle w:val="KPIfigure"/>
            </w:pPr>
            <w:r>
              <w:rPr>
                <w:sz w:val="36"/>
              </w:rPr>
              <w:t>38 of 60</w:t>
            </w:r>
          </w:p>
          <w:p>
            <w:pPr>
              <w:pStyle w:val="KPIlabel"/>
            </w:pPr>
            <w:r>
              <w:t>Seats in use</w:t>
            </w:r>
          </w:p>
          <w:p>
            <w:pPr>
              <w:pStyle w:val="KPInote"/>
            </w:pPr>
            <w:r>
              <w:t>63%, Sep 2026</w:t>
            </w:r>
          </w:p>
        </w:tc>
      </w:tr>
    </w:tbl>
    <w:p>
      <w:pPr>
        <w:pStyle w:val="Body"/>
        <w:spacing w:after="0"/>
      </w:pPr>
    </w:p>
    <w:p>
      <w:pPr>
        <w:pStyle w:val="Source"/>
        <w:spacing w:after="200"/>
      </w:pPr>
      <w:r>
        <w:t>Source: B-Viz facts, as at Fri 9 Oct 2026; facts arr, renewals_due, usage_headroom; query chat.deals</w:t>
      </w:r>
    </w:p>
    <w:p>
      <w:pPr>
        <w:pStyle w:val="Heading1"/>
      </w:pPr>
      <w:r>
        <w:t>Why this call, and why now</w:t>
      </w:r>
    </w:p>
    <w:p>
      <w:pPr>
        <w:pStyle w:val="Body"/>
      </w:pPr>
      <w:r>
        <w:t>on the 17 Sep 2026 call, Stuart Kenyon said he will not pay more for something people use less. The unsigned proposal and the open deal both sit at £58,000, against £51,000 on the executed order form.</w:t>
      </w:r>
    </w:p>
    <w:p>
      <w:pPr>
        <w:pStyle w:val="Body"/>
      </w:pPr>
      <w:r>
        <w:t>Ruth Ackroyd, the champion whose view Stuart Kenyon follows, had her platform user deactivated on 29 Jun 2026; the evidence does not show why. On the 17 Sep 2026 call Stuart said he will not pay more for something people use less, and Karen Midgley wants any increase explained before budgeting.</w:t>
      </w:r>
    </w:p>
    <w:p>
      <w:pPr>
        <w:pStyle w:val="Source"/>
        <w:spacing w:after="200"/>
      </w:pPr>
      <w:r>
        <w:t>Source: B-Viz facts, as at Fri 9 Oct 2026; get_document next_steps:org_018, assessment:org_018</w:t>
      </w:r>
    </w:p>
    <w:p>
      <w:pPr>
        <w:pStyle w:val="Heading1"/>
      </w:pPr>
      <w:r>
        <w:t>Agreed on the last two calls</w:t>
      </w:r>
    </w:p>
    <w:p>
      <w:pPr>
        <w:pStyle w:val="ListBullet"/>
      </w:pPr>
      <w:r>
        <w:t>17 Sep 2026: Tom Ashdown to send Karen then Stuart a one-page cover note and the order form with a line-by-line breakdown, aiming to close on 9 Nov 2026.</w:t>
      </w:r>
    </w:p>
    <w:p>
      <w:pPr>
        <w:pStyle w:val="ListBullet"/>
      </w:pPr>
      <w:r>
        <w:t>17 Sep 2026: Daniel Okafor to send the one-page value summary with Ruth's examples, plus the timeline for the high-priority ticket.</w:t>
      </w:r>
    </w:p>
    <w:p>
      <w:pPr>
        <w:pStyle w:val="ListBullet"/>
      </w:pPr>
      <w:r>
        <w:t>17 Sep 2026: Daniel to send the usage plan by the end of the following week.</w:t>
      </w:r>
    </w:p>
    <w:p>
      <w:pPr>
        <w:pStyle w:val="ListBullet"/>
      </w:pPr>
      <w:r>
        <w:t>20 Jul 2026: Daniel Okafor to send Stuart Kenyon planning session dates and a one-page usage summary by the end of the following week.</w:t>
      </w:r>
    </w:p>
    <w:p>
      <w:pPr>
        <w:pStyle w:val="ListBullet"/>
      </w:pPr>
      <w:r>
        <w:t>20 Jul 2026: Daniel to bring Tom into the renewal pricing conversation and put the cost in writing before Stuart is asked to sign.</w:t>
      </w:r>
    </w:p>
    <w:p>
      <w:pPr>
        <w:pStyle w:val="Source"/>
        <w:spacing w:after="200"/>
      </w:pPr>
      <w:r>
        <w:t>Source: B-Viz facts, as at Fri 9 Oct 2026; get_document object_read:call_018_025, call_018_024</w:t>
      </w:r>
    </w:p>
    <w:p>
      <w:pPr>
        <w:pStyle w:val="Heading1"/>
      </w:pPr>
      <w:r>
        <w:t>What the records show was done</w:t>
      </w:r>
    </w:p>
    <w:p>
      <w:pPr>
        <w:pStyle w:val="Body"/>
      </w:pPr>
      <w:r>
        <w:t>The last renewal email thread ends Fri 4 Sep 2026. The 24 Sep 2026 final renewal proposal stands at £58,000, above the £50,000 list price. The records do not show the one-page value summary, the usage plan or the ticket timeline being sent. 11 tickets have been raised in all; 0 is open.</w:t>
      </w:r>
    </w:p>
    <w:p>
      <w:pPr>
        <w:pStyle w:val="Source"/>
        <w:spacing w:after="200"/>
      </w:pPr>
      <w:r>
        <w:t>Source: B-Viz facts, as at Fri 9 Oct 2026; query chat.email_threads, chat.deals, chat.tickets</w:t>
      </w:r>
    </w:p>
    <w:p>
      <w:pPr>
        <w:pStyle w:val="Body"/>
        <w:ind w:left="454"/>
      </w:pPr>
      <w:r>
        <w:rPr>
          <w:i/>
          <w:sz w:val="26"/>
        </w:rPr>
        <w:t>“I'm not paying more for something people use less.”</w:t>
      </w:r>
    </w:p>
    <w:p>
      <w:pPr>
        <w:pStyle w:val="KPInote"/>
        <w:ind w:left="454"/>
      </w:pPr>
      <w:r>
        <w:t>Stuart Kenyon, renewal call, Thu 17 Sep 2026</w:t>
      </w:r>
    </w:p>
    <w:p>
      <w:pPr>
        <w:pStyle w:val="Source"/>
        <w:spacing w:after="200"/>
      </w:pPr>
      <w:r>
        <w:t>Source: B-Viz facts, as at Fri 9 Oct 2026; get_document call_018_025 (transcript)</w:t>
      </w:r>
    </w:p>
    <w:p>
      <w:pPr>
        <w:pStyle w:val="Heading1"/>
      </w:pPr>
      <w:r>
        <w:t>Who is who</w:t>
      </w:r>
    </w:p>
    <w:p>
      <w:pPr>
        <w:pStyle w:val="ListBullet"/>
      </w:pPr>
      <w:r>
        <w:t>Sarah Kaur, Commercial Analyst: user</w:t>
      </w:r>
    </w:p>
    <w:p>
      <w:pPr>
        <w:pStyle w:val="ListBullet"/>
      </w:pPr>
      <w:r>
        <w:t>Sana Sutherland, Account Manager: user</w:t>
      </w:r>
    </w:p>
    <w:p>
      <w:pPr>
        <w:pStyle w:val="ListBullet"/>
      </w:pPr>
      <w:r>
        <w:t>Oscar Ridley, Finance Analyst: user</w:t>
      </w:r>
    </w:p>
    <w:p>
      <w:pPr>
        <w:pStyle w:val="ListBullet"/>
      </w:pPr>
      <w:r>
        <w:t>Faye Quinn, Commercial Analyst: user</w:t>
      </w:r>
    </w:p>
    <w:p>
      <w:pPr>
        <w:pStyle w:val="Source"/>
        <w:spacing w:after="200"/>
      </w:pPr>
      <w:r>
        <w:t>Source: B-Viz facts, as at Fri 9 Oct 2026; query chat.people</w:t>
      </w:r>
    </w:p>
    <w:p>
      <w:pPr>
        <w:pStyle w:val="Heading1"/>
      </w:pPr>
      <w:r>
        <w:t>The call</w:t>
      </w:r>
    </w:p>
    <w:p>
      <w:pPr>
        <w:pStyle w:val="ListNumber"/>
      </w:pPr>
      <w:r>
        <w:t>Tom Ashdown puts the price-book renewal of £50,000 in writing for Karen Midgley and Stuart. Daniel Okafor sends the one-page value summary promised on 1 Sep 2026, and both arrive ahead of the 27 Oct 2026 QBR.</w:t>
      </w:r>
    </w:p>
    <w:p>
      <w:pPr>
        <w:pStyle w:val="ListNumber"/>
      </w:pPr>
      <w:r>
        <w:t>Bring: questions back to 1,086 in September after the August dip, and 38 of 60 seats active. Also bring a named person who can speak for value now that Ruth Ackroyd's platform user is deactivated.</w:t>
      </w:r>
    </w:p>
    <w:p>
      <w:pPr>
        <w:pStyle w:val="ListNumber"/>
      </w:pPr>
      <w:r>
        <w:t>Then the QBR on Tue 27 Oct 2026 and the renewal call on Thu 29 Oct 2026 (both booked, not held).</w:t>
      </w:r>
    </w:p>
    <w:sectPr w:rsidR="00FC693F" w:rsidRPr="0006063C" w:rsidSect="00034616">
      <w:headerReference w:type="default" r:id="rId9"/>
      <w:headerReference w:type="first" r:id="rId10"/>
      <w:footerReference w:type="default" r:id="rId11"/>
      <w:footerReference w:type="first" r:id="rId12"/>
      <w:pgSz w:w="11906" w:h="16838"/>
      <w:pgMar w:top="720" w:right="720" w:bottom="720" w:left="720" w:header="255" w:footer="28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altName w:val="Arial"/>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nsolas">
    <w:altName w:val="Courier New"/>
    <w:family w:val="modern"/>
    <w:pitch w:val="fixed"/>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
      <w:tabs>
        <w:tab w:pos="10466" w:val="right"/>
      </w:tabs>
    </w:pPr>
    <w:r>
      <w:t>Source: B-Viz facts, as at Fri 9 Oct 2026</w:t>
      <w:tab/>
      <w:t xml:space="preserve">Page </w:t>
    </w:r>
    <w:fldSimple w:instr=" PAGE ">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
      <w:tabs>
        <w:tab w:pos="10466" w:val="right"/>
      </w:tabs>
    </w:pPr>
    <w:r>
      <w:t>Source: B-Viz facts, as at Fri 9 Oct 2026</w:t>
      <w:tab/>
      <w:t xml:space="preserve">Page </w:t>
    </w:r>
    <w:fldSimple w:instr=" PAGE ">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xmlns:a="http://schemas.openxmlformats.org/drawingml/2006/main">
      <w:drawing>
        <wp:inline distT="0" distB="0" distL="0" distR="0">
          <wp:extent cx="120000" cy="216000"/>
          <wp:effectExtent l="0" t="0" r="0" b="0"/>
          <wp:docPr id="9001" name="B-Viz symbol left"/>
          <wp:cNvGraphicFramePr/>
          <a:graphic>
            <a:graphicData uri="http://schemas.microsoft.com/office/word/2010/wordprocessingShape">
              <wps:wsp>
                <wps:cNvSpPr/>
                <wps:spPr>
                  <a:xfrm>
                    <a:off x="0" y="0"/>
                    <a:ext cx="120000" cy="216000"/>
                  </a:xfrm>
                  <a:custGeom>
                    <a:avLst/>
                    <a:gdLst/>
                    <a:ahLst/>
                    <a:cxnLst/>
                    <a:rect l="0" t="0" r="r" b="b"/>
                    <a:pathLst>
                      <a:path w="40000" h="72000">
                        <a:moveTo>
                          <a:pt x="36000" y="0"/>
                        </a:moveTo>
                        <a:arcTo wR="36000" hR="36000" stAng="16200000" swAng="-10800000"/>
                        <a:close/>
                      </a:path>
                    </a:pathLst>
                  </a:custGeom>
                  <a:solidFill>
                    <a:srgbClr val="1F2430"/>
                  </a:solidFill>
                  <a:ln>
                    <a:noFill/>
                  </a:ln>
                </wps:spPr>
                <wps:bodyPr/>
              </wps:wsp>
            </a:graphicData>
          </a:graphic>
        </wp:inline>
      </w:drawing>
    </w:r>
    <w:r xmlns:a="http://schemas.openxmlformats.org/drawingml/2006/main">
      <w:drawing>
        <wp:inline distT="0" distB="0" distL="0" distR="0">
          <wp:extent cx="192000" cy="216000"/>
          <wp:effectExtent l="0" t="0" r="0" b="0"/>
          <wp:docPr id="9002" name="B-Viz symbol right"/>
          <wp:cNvGraphicFramePr/>
          <a:graphic>
            <a:graphicData uri="http://schemas.microsoft.com/office/word/2010/wordprocessingShape">
              <wps:wsp>
                <wps:cNvSpPr/>
                <wps:spPr>
                  <a:xfrm>
                    <a:off x="0" y="0"/>
                    <a:ext cx="192000" cy="216000"/>
                  </a:xfrm>
                  <a:custGeom>
                    <a:avLst/>
                    <a:gdLst/>
                    <a:ahLst/>
                    <a:cxnLst/>
                    <a:rect l="0" t="0" r="r" b="b"/>
                    <a:pathLst>
                      <a:path w="64000" h="72000">
                        <a:moveTo>
                          <a:pt x="4000" y="0"/>
                        </a:moveTo>
                        <a:arcTo wR="36000" hR="36000" stAng="16200000" swAng="10800000"/>
                        <a:close/>
                      </a:path>
                    </a:pathLst>
                  </a:custGeom>
                  <a:solidFill>
                    <a:srgbClr val="E3A6A8"/>
                  </a:solidFill>
                  <a:ln>
                    <a:noFill/>
                  </a:ln>
                </wps:spPr>
                <wps:bodyPr/>
              </wps:wsp>
            </a:graphicData>
          </a:graphic>
        </wp:inline>
      </w:drawing>
    </w:r>
    <w:r>
      <w:rPr>
        <w:rFonts w:ascii="Calibri" w:hAnsi="Calibri" w:cs="Calibri" w:eastAsia="Calibri"/>
        <w:b/>
        <w:color w:val="1F2430"/>
        <w:spacing w:val="-9"/>
        <w:position w:val="6"/>
        <w:sz w:val="29"/>
        <w:szCs w:val="29"/>
      </w:rPr>
      <w:t>B-Viz</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xmlns:a="http://schemas.openxmlformats.org/drawingml/2006/main">
      <w:drawing>
        <wp:inline distT="0" distB="0" distL="0" distR="0">
          <wp:extent cx="120000" cy="216000"/>
          <wp:effectExtent l="0" t="0" r="0" b="0"/>
          <wp:docPr id="9011" name="B-Viz symbol left"/>
          <wp:cNvGraphicFramePr/>
          <a:graphic>
            <a:graphicData uri="http://schemas.microsoft.com/office/word/2010/wordprocessingShape">
              <wps:wsp>
                <wps:cNvSpPr/>
                <wps:spPr>
                  <a:xfrm>
                    <a:off x="0" y="0"/>
                    <a:ext cx="120000" cy="216000"/>
                  </a:xfrm>
                  <a:custGeom>
                    <a:avLst/>
                    <a:gdLst/>
                    <a:ahLst/>
                    <a:cxnLst/>
                    <a:rect l="0" t="0" r="r" b="b"/>
                    <a:pathLst>
                      <a:path w="40000" h="72000">
                        <a:moveTo>
                          <a:pt x="36000" y="0"/>
                        </a:moveTo>
                        <a:arcTo wR="36000" hR="36000" stAng="16200000" swAng="-10800000"/>
                        <a:close/>
                      </a:path>
                    </a:pathLst>
                  </a:custGeom>
                  <a:solidFill>
                    <a:srgbClr val="1F2430"/>
                  </a:solidFill>
                  <a:ln>
                    <a:noFill/>
                  </a:ln>
                </wps:spPr>
                <wps:bodyPr/>
              </wps:wsp>
            </a:graphicData>
          </a:graphic>
        </wp:inline>
      </w:drawing>
    </w:r>
    <w:r xmlns:a="http://schemas.openxmlformats.org/drawingml/2006/main">
      <w:drawing>
        <wp:inline distT="0" distB="0" distL="0" distR="0">
          <wp:extent cx="192000" cy="216000"/>
          <wp:effectExtent l="0" t="0" r="0" b="0"/>
          <wp:docPr id="9012" name="B-Viz symbol right"/>
          <wp:cNvGraphicFramePr/>
          <a:graphic>
            <a:graphicData uri="http://schemas.microsoft.com/office/word/2010/wordprocessingShape">
              <wps:wsp>
                <wps:cNvSpPr/>
                <wps:spPr>
                  <a:xfrm>
                    <a:off x="0" y="0"/>
                    <a:ext cx="192000" cy="216000"/>
                  </a:xfrm>
                  <a:custGeom>
                    <a:avLst/>
                    <a:gdLst/>
                    <a:ahLst/>
                    <a:cxnLst/>
                    <a:rect l="0" t="0" r="r" b="b"/>
                    <a:pathLst>
                      <a:path w="64000" h="72000">
                        <a:moveTo>
                          <a:pt x="4000" y="0"/>
                        </a:moveTo>
                        <a:arcTo wR="36000" hR="36000" stAng="16200000" swAng="10800000"/>
                        <a:close/>
                      </a:path>
                    </a:pathLst>
                  </a:custGeom>
                  <a:solidFill>
                    <a:srgbClr val="E3A6A8"/>
                  </a:solidFill>
                  <a:ln>
                    <a:noFill/>
                  </a:ln>
                </wps:spPr>
                <wps:bodyPr/>
              </wps:wsp>
            </a:graphicData>
          </a:graphic>
        </wp:inline>
      </w:drawing>
    </w:r>
    <w:r>
      <w:rPr>
        <w:rFonts w:ascii="Calibri" w:hAnsi="Calibri" w:cs="Calibri" w:eastAsia="Calibri"/>
        <w:b/>
        <w:color w:val="1F2430"/>
        <w:spacing w:val="-9"/>
        <w:position w:val="6"/>
        <w:sz w:val="29"/>
        <w:szCs w:val="29"/>
      </w:rPr>
      <w:t>B-Viz</w:t>
    </w:r>
  </w:p>
  <w:p>
    <w:pPr>
      <w:pStyle w:val="Source"/>
      <w:spacing w:before="60"/>
    </w:pPr>
    <w:r>
      <w:rPr>
        <w:sz w:val="20"/>
      </w:rPr>
      <w:t>The visible brain of your business.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88" w:lineRule="auto"/>
    </w:pPr>
    <w:rPr>
      <w:rFonts w:ascii="Calibri" w:hAnsi="Calibri" w:cs="Calibri" w:eastAsia="Calibri"/>
      <w:b w:val="0"/>
      <w:color w:val="1F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cs="Calibri" w:eastAsia="Calibri"/>
      <w:b/>
      <w:bCs/>
      <w:color w:val="1F2430"/>
      <w:spacing w:val="-8"/>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color w:val="1F2430"/>
      <w:spacing w:val="-5"/>
      <w:sz w:val="26"/>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cs="Calibri" w:eastAsia="Calibri"/>
      <w:b/>
      <w:bCs/>
      <w:color w:val="1F2430"/>
      <w:spacing w:val="-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Calibri" w:hAnsi="Calibri" w:cs="Calibri" w:eastAsia="Calibri"/>
      <w:b/>
      <w:color w:val="1F2430"/>
      <w:spacing w:val="-17"/>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80"/>
    </w:pPr>
    <w:rPr>
      <w:rFonts w:ascii="Calibri" w:hAnsi="Calibri" w:cs="Calibri" w:eastAsia="Calibri"/>
      <w:b w:val="0"/>
      <w:color w:val="5A5F6B"/>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qFormat/>
    <w:rsid w:val="00326F90"/>
    <w:pPr>
      <w:numPr>
        <w:numId w:val="1"/>
      </w:numPr>
      <w:spacing w:before="0" w:after="60" w:line="288" w:lineRule="auto"/>
      <w:contextualSpacing/>
    </w:pPr>
    <w:rPr>
      <w:rFonts w:ascii="Calibri" w:hAnsi="Calibri" w:cs="Calibri" w:eastAsia="Calibri"/>
      <w:b w:val="0"/>
      <w:color w:val="1F243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qFormat/>
    <w:rsid w:val="00326F90"/>
    <w:pPr>
      <w:numPr>
        <w:numId w:val="5"/>
      </w:numPr>
      <w:spacing w:before="0" w:after="60" w:line="288" w:lineRule="auto"/>
      <w:contextualSpacing/>
    </w:pPr>
    <w:rPr>
      <w:rFonts w:ascii="Calibri" w:hAnsi="Calibri" w:cs="Calibri" w:eastAsia="Calibri"/>
      <w:b w:val="0"/>
      <w:color w:val="1F243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basedOn w:val="Normal"/>
    <w:qFormat/>
    <w:pPr>
      <w:spacing w:before="0" w:after="120" w:line="288" w:lineRule="auto"/>
    </w:pPr>
    <w:rPr>
      <w:rFonts w:ascii="Calibri" w:hAnsi="Calibri" w:cs="Calibri" w:eastAsia="Calibri"/>
      <w:b w:val="0"/>
      <w:color w:val="1F2430"/>
      <w:sz w:val="21"/>
    </w:rPr>
  </w:style>
  <w:style w:type="paragraph" w:customStyle="1" w:styleId="Figurecaption">
    <w:name w:val="Figure caption"/>
    <w:basedOn w:val="Normal"/>
    <w:qFormat/>
    <w:pPr>
      <w:spacing w:before="80" w:after="240"/>
    </w:pPr>
    <w:rPr>
      <w:rFonts w:ascii="Calibri" w:hAnsi="Calibri" w:cs="Calibri" w:eastAsia="Calibri"/>
      <w:b w:val="0"/>
      <w:color w:val="5A5F6B"/>
      <w:sz w:val="18"/>
    </w:rPr>
  </w:style>
  <w:style w:type="paragraph" w:customStyle="1" w:styleId="KPIfigure">
    <w:name w:val="KPI figure"/>
    <w:basedOn w:val="Normal"/>
    <w:qFormat/>
    <w:pPr>
      <w:spacing w:before="0" w:after="0" w:line="240" w:lineRule="auto"/>
    </w:pPr>
    <w:rPr>
      <w:rFonts w:ascii="Consolas" w:hAnsi="Consolas" w:cs="Consolas" w:eastAsia="Consolas"/>
      <w:b/>
      <w:color w:val="1F2430"/>
      <w:sz w:val="36"/>
    </w:rPr>
  </w:style>
  <w:style w:type="paragraph" w:customStyle="1" w:styleId="KPIlabel">
    <w:name w:val="KPI label"/>
    <w:basedOn w:val="Normal"/>
    <w:qFormat/>
    <w:pPr>
      <w:spacing w:before="40" w:after="0" w:line="240" w:lineRule="auto"/>
    </w:pPr>
    <w:rPr>
      <w:rFonts w:ascii="Calibri" w:hAnsi="Calibri" w:cs="Calibri" w:eastAsia="Calibri"/>
      <w:b/>
      <w:color w:val="1F2430"/>
      <w:sz w:val="19"/>
    </w:rPr>
  </w:style>
  <w:style w:type="paragraph" w:customStyle="1" w:styleId="KPInote">
    <w:name w:val="KPI note"/>
    <w:basedOn w:val="Normal"/>
    <w:qFormat/>
    <w:pPr>
      <w:spacing w:before="20" w:after="0" w:line="240" w:lineRule="auto"/>
    </w:pPr>
    <w:rPr>
      <w:rFonts w:ascii="Calibri" w:hAnsi="Calibri" w:cs="Calibri" w:eastAsia="Calibri"/>
      <w:b w:val="0"/>
      <w:color w:val="5A5F6B"/>
      <w:sz w:val="17"/>
    </w:rPr>
  </w:style>
  <w:style w:type="paragraph" w:customStyle="1" w:styleId="Source">
    <w:name w:val="Source"/>
    <w:basedOn w:val="Normal"/>
    <w:qFormat/>
    <w:pPr>
      <w:spacing w:before="0" w:after="0"/>
    </w:pPr>
    <w:rPr>
      <w:rFonts w:ascii="Calibri" w:hAnsi="Calibri" w:cs="Calibri" w:eastAsia="Calibri"/>
      <w:b w:val="0"/>
      <w:color w:val="5A5F6B"/>
      <w:sz w:val="17"/>
    </w:rPr>
  </w:style>
  <w:style w:type="character" w:customStyle="1" w:styleId="Figure">
    <w:name w:val="Figure"/>
    <w:qFormat/>
    <w:rPr>
      <w:rFonts w:ascii="Consolas" w:hAnsi="Consolas" w:cs="Consolas" w:eastAsia="Consolas"/>
      <w:b w:val="0"/>
      <w:color w:val="1F2430"/>
      <w:sz w:val="20"/>
    </w:rPr>
  </w:style>
  <w:style w:type="table" w:customStyle="1" w:styleId="BVizKPI">
    <w:name w:val="B-Viz KPI"/>
    <w:basedOn w:val="TableNormal"/>
    <w:uiPriority w:val="40"/>
    <w:qFormat/>
    <w:pPr>
      <w:spacing w:before="0" w:after="0"/>
    </w:pPr>
    <w:tblPr>
      <w:tblBorders>
        <w:top w:val="single" w:sz="18" w:space="0" w:color="E3A6A8"/>
        <w:insideV w:val="single" w:sz="48" w:space="0" w:color="FFFFFF"/>
      </w:tblBorders>
      <w:tblCellMar>
        <w:top w:w="120" w:type="dxa"/>
        <w:left w:w="140" w:type="dxa"/>
        <w:bottom w:w="120" w:type="dxa"/>
        <w:right w:w="140" w:type="dxa"/>
      </w:tblCellMar>
    </w:tblPr>
    <w:tcPr>
      <w:shd w:val="clear" w:color="auto" w:fill="F7F5F3"/>
    </w:tcPr>
  </w:style>
  <w:style w:type="table" w:customStyle="1" w:styleId="BVizPlain">
    <w:name w:val="B-Viz plain"/>
    <w:basedOn w:val="TableNormal"/>
    <w:uiPriority w:val="41"/>
    <w:qFormat/>
    <w:pPr>
      <w:spacing w:before="0" w:after="0"/>
    </w:pPr>
    <w:rPr>
      <w:sz w:val="19"/>
    </w:rPr>
    <w:tblPr>
      <w:tblBorders>
        <w:top w:val="single" w:sz="4" w:space="0" w:color="E4DEDB"/>
        <w:bottom w:val="single" w:sz="4" w:space="0" w:color="E4DEDB"/>
        <w:insideH w:val="single" w:sz="4" w:space="0" w:color="E4DEDB"/>
      </w:tblBorders>
      <w:tblCellMar>
        <w:top w:w="30" w:type="dxa"/>
        <w:left w:w="140" w:type="dxa"/>
        <w:bottom w:w="30" w:type="dxa"/>
        <w:right w:w="140" w:type="dxa"/>
      </w:tblCellMar>
    </w:tblPr>
    <w:tcPr>
      <w:shd w:val="clear" w:color="auto" w:fill="FFFFFF"/>
    </w:tcPr>
    <w:tblStylePr w:type="firstRow">
      <w:rPr>
        <w:b/>
        <w:color w:val="1F2430"/>
      </w:rPr>
      <w:tcPr>
        <w:tcBorders>
          <w:bottom w:val="single" w:sz="12" w:space="0" w:color="1F2430"/>
        </w:tcBorders>
        <w:shd w:val="clear" w:color="auto" w:fill="F7F5F3"/>
      </w:tcPr>
    </w:tblStylePr>
    <w:tblStylePr w:type="lastRow">
      <w:rPr>
        <w:b/>
      </w:rPr>
      <w:tcPr>
        <w:tcBorders>
          <w:top w:val="single" w:sz="12" w:space="0" w:color="1F2430"/>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B-Viz">
  <a:themeElements>
    <a:clrScheme name="B-Viz light">
      <a:dk1>
        <a:srgbClr val="1F2430"/>
      </a:dk1>
      <a:lt1>
        <a:srgbClr val="F7F5F3"/>
      </a:lt1>
      <a:dk2>
        <a:srgbClr val="3A4150"/>
      </a:dk2>
      <a:lt2>
        <a:srgbClr val="FFFFFF"/>
      </a:lt2>
      <a:accent1>
        <a:srgbClr val="1F2430"/>
      </a:accent1>
      <a:accent2>
        <a:srgbClr val="D27073"/>
      </a:accent2>
      <a:accent3>
        <a:srgbClr val="5B6B9E"/>
      </a:accent3>
      <a:accent4>
        <a:srgbClr val="9E4A50"/>
      </a:accent4>
      <a:accent5>
        <a:srgbClr val="6E9584"/>
      </a:accent5>
      <a:accent6>
        <a:srgbClr val="B18741"/>
      </a:accent6>
      <a:hlink>
        <a:srgbClr val="9E4A50"/>
      </a:hlink>
      <a:folHlink>
        <a:srgbClr val="5A5F6B"/>
      </a:folHlink>
    </a:clrScheme>
    <a:fontScheme name="B-Viz">
      <a:majorFont>
        <a:latin typeface="Calibri" pitchFamily="34" charset="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34" charset="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Viz flat">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custClrLst>
    <a:custClr name="paper">
      <a:srgbClr val="F7F5F3"/>
    </a:custClr>
    <a:custClr name="surface">
      <a:srgbClr val="FFFFFF"/>
    </a:custClr>
    <a:custClr name="ink">
      <a:srgbClr val="1F2430"/>
    </a:custClr>
    <a:custClr name="text-muted">
      <a:srgbClr val="5A5F6B"/>
    </a:custClr>
    <a:custClr name="border">
      <a:srgbClr val="E4DEDB"/>
    </a:custClr>
    <a:custClr name="slate">
      <a:srgbClr val="3A4150"/>
    </a:custClr>
    <a:custClr name="brain-pink">
      <a:srgbClr val="E3A6A8"/>
    </a:custClr>
    <a:custClr name="pink-text">
      <a:srgbClr val="9E4A50"/>
    </a:custClr>
    <a:custClr name="brand-ink">
      <a:srgbClr val="1F2430"/>
    </a:custClr>
    <a:custClr name="brand-paper">
      <a:srgbClr val="F7F5F3"/>
    </a:custClr>
    <a:custClr name="good">
      <a:srgbClr val="008226"/>
    </a:custClr>
    <a:custClr name="watch">
      <a:srgbClr val="8A5A00"/>
    </a:custClr>
    <a:custClr name="bad">
      <a:srgbClr val="B8430B"/>
    </a:custClr>
    <a:custClr name="chart-1">
      <a:srgbClr val="1F2430"/>
    </a:custClr>
    <a:custClr name="chart-2">
      <a:srgbClr val="D27073"/>
    </a:custClr>
    <a:custClr name="chart-3">
      <a:srgbClr val="5B6B9E"/>
    </a:custClr>
    <a:custClr name="chart-4">
      <a:srgbClr val="9E4A50"/>
    </a:custClr>
    <a:custClr name="chart-5">
      <a:srgbClr val="6E9584"/>
    </a:custClr>
    <a:custClr name="chart-6">
      <a:srgbClr val="B18741"/>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Calls to make this week, and the first briefing</dc:title>
  <dc:subject>B-Viz brand kit</dc:subject>
  <dc:creator>B-Viz</dc:creator>
  <cp:keywords/>
  <dc:description>generated by python-docx</dc:description>
  <cp:lastModifiedBy>B-Viz</cp:lastModifiedBy>
  <cp:revision>1</cp:revision>
  <dcterms:created xsi:type="dcterms:W3CDTF">2026-10-09T09:00:00Z</dcterms:created>
  <dcterms:modified xsi:type="dcterms:W3CDTF">2026-10-23T17:04:30Z</dcterms:modified>
  <cp:category/>
</cp:coreProperties>
</file>